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b/>
          <w:sz w:val="36"/>
        </w:rPr>
      </w:pPr>
      <w:r>
        <w:rPr>
          <w:rFonts w:hint="eastAsia" w:ascii="黑体" w:hAnsi="黑体" w:eastAsia="黑体"/>
          <w:b/>
          <w:sz w:val="36"/>
        </w:rPr>
        <w:t>2021级建筑工程技术专业人才培养方案</w:t>
      </w:r>
    </w:p>
    <w:p>
      <w:pPr>
        <w:jc w:val="center"/>
        <w:rPr>
          <w:rFonts w:ascii="华文仿宋" w:hAnsi="华文仿宋" w:eastAsia="华文仿宋"/>
        </w:rPr>
      </w:pPr>
      <w:r>
        <w:rPr>
          <w:rFonts w:hint="eastAsia" w:ascii="华文仿宋" w:hAnsi="华文仿宋" w:eastAsia="华文仿宋"/>
        </w:rPr>
        <w:t>起草：</w:t>
      </w:r>
      <w:r>
        <w:rPr>
          <w:rFonts w:hint="eastAsia" w:ascii="华文仿宋" w:hAnsi="华文仿宋" w:eastAsia="华文仿宋"/>
          <w:lang w:val="en-US" w:eastAsia="zh-CN"/>
        </w:rPr>
        <w:t xml:space="preserve">李建华 </w:t>
      </w:r>
      <w:r>
        <w:rPr>
          <w:rFonts w:hint="eastAsia" w:ascii="华文仿宋" w:hAnsi="华文仿宋" w:eastAsia="华文仿宋"/>
        </w:rPr>
        <w:t xml:space="preserve"> 审核：</w:t>
      </w:r>
      <w:r>
        <w:rPr>
          <w:rFonts w:hint="eastAsia" w:ascii="华文仿宋" w:hAnsi="华文仿宋" w:eastAsia="华文仿宋"/>
          <w:lang w:val="en-US" w:eastAsia="zh-CN"/>
        </w:rPr>
        <w:t>陈宇锋</w:t>
      </w:r>
      <w:r>
        <w:rPr>
          <w:rFonts w:hint="eastAsia" w:ascii="华文仿宋" w:hAnsi="华文仿宋" w:eastAsia="华文仿宋"/>
          <w:color w:val="0000FF"/>
        </w:rPr>
        <w:t xml:space="preserve"> </w:t>
      </w:r>
    </w:p>
    <w:p>
      <w:pPr>
        <w:adjustRightInd w:val="0"/>
        <w:spacing w:line="360" w:lineRule="auto"/>
        <w:jc w:val="left"/>
        <w:rPr>
          <w:rFonts w:ascii="黑体" w:hAnsi="黑体" w:eastAsia="黑体"/>
          <w:b/>
          <w:color w:val="000000"/>
          <w:sz w:val="28"/>
          <w:szCs w:val="28"/>
          <w:u w:val="single"/>
        </w:rPr>
      </w:pPr>
      <w:r>
        <w:rPr>
          <w:rFonts w:hint="eastAsia" w:ascii="黑体" w:hAnsi="黑体" w:eastAsia="黑体"/>
          <w:b/>
          <w:color w:val="000000"/>
          <w:sz w:val="30"/>
          <w:szCs w:val="30"/>
        </w:rPr>
        <w:t>一、</w:t>
      </w:r>
      <w:bookmarkStart w:id="0" w:name="一"/>
      <w:bookmarkEnd w:id="0"/>
      <w:r>
        <w:rPr>
          <w:rFonts w:hint="eastAsia" w:ascii="黑体" w:hAnsi="黑体" w:eastAsia="黑体"/>
          <w:b/>
          <w:color w:val="000000"/>
          <w:sz w:val="30"/>
          <w:szCs w:val="30"/>
        </w:rPr>
        <w:t xml:space="preserve">专业信息 </w:t>
      </w:r>
    </w:p>
    <w:p>
      <w:pPr>
        <w:adjustRightIn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专业类别：土木建筑大类</w:t>
      </w:r>
    </w:p>
    <w:p>
      <w:pPr>
        <w:adjustRightIn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专业名称：建筑工程技术</w:t>
      </w:r>
    </w:p>
    <w:p>
      <w:pPr>
        <w:adjustRightIn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专业代码：440301</w:t>
      </w:r>
    </w:p>
    <w:p>
      <w:pPr>
        <w:adjustRightIn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建筑工程技术专业是教育部认定骨干专业，浙江省高校“十三五”优势专业，是湖州职业技术学院重点建设专业，专业教学成果获浙江省教学成果奖一等奖。</w:t>
      </w:r>
    </w:p>
    <w:p>
      <w:pPr>
        <w:adjustRightInd w:val="0"/>
        <w:spacing w:line="360" w:lineRule="auto"/>
        <w:rPr>
          <w:rFonts w:ascii="黑体" w:hAnsi="黑体" w:eastAsia="黑体"/>
          <w:b/>
          <w:color w:val="000000"/>
          <w:sz w:val="30"/>
          <w:szCs w:val="30"/>
        </w:rPr>
      </w:pPr>
      <w:r>
        <w:rPr>
          <w:rFonts w:hint="eastAsia" w:ascii="黑体" w:hAnsi="黑体" w:eastAsia="黑体"/>
          <w:b/>
          <w:color w:val="000000"/>
          <w:sz w:val="30"/>
          <w:szCs w:val="30"/>
        </w:rPr>
        <w:t>二、</w:t>
      </w:r>
      <w:bookmarkStart w:id="1" w:name="二"/>
      <w:bookmarkEnd w:id="1"/>
      <w:r>
        <w:rPr>
          <w:rFonts w:hint="eastAsia" w:ascii="黑体" w:hAnsi="黑体" w:eastAsia="黑体"/>
          <w:b/>
          <w:color w:val="000000"/>
          <w:sz w:val="30"/>
          <w:szCs w:val="30"/>
        </w:rPr>
        <w:t>入学要求</w:t>
      </w:r>
    </w:p>
    <w:p>
      <w:pPr>
        <w:adjustRightInd w:val="0"/>
        <w:spacing w:line="360" w:lineRule="auto"/>
        <w:ind w:firstLine="480" w:firstLineChars="200"/>
        <w:rPr>
          <w:rFonts w:ascii="仿宋" w:hAnsi="仿宋" w:eastAsia="仿宋"/>
          <w:b/>
          <w:color w:val="000000"/>
          <w:sz w:val="30"/>
          <w:szCs w:val="30"/>
        </w:rPr>
      </w:pPr>
      <w:r>
        <w:rPr>
          <w:rFonts w:hint="eastAsia" w:ascii="仿宋" w:hAnsi="仿宋" w:eastAsia="仿宋"/>
          <w:color w:val="000000"/>
          <w:sz w:val="24"/>
          <w:szCs w:val="24"/>
        </w:rPr>
        <w:t>普通高级中学毕业生、中等职业学校毕业生或具备同等学历者。</w:t>
      </w:r>
    </w:p>
    <w:p>
      <w:pPr>
        <w:adjustRightInd w:val="0"/>
        <w:spacing w:line="360" w:lineRule="auto"/>
        <w:rPr>
          <w:rFonts w:ascii="黑体" w:hAnsi="黑体" w:eastAsia="黑体"/>
          <w:b/>
          <w:color w:val="000000"/>
          <w:sz w:val="30"/>
          <w:szCs w:val="30"/>
        </w:rPr>
      </w:pPr>
      <w:r>
        <w:rPr>
          <w:rFonts w:hint="eastAsia" w:ascii="黑体" w:hAnsi="黑体" w:eastAsia="黑体"/>
          <w:b/>
          <w:color w:val="000000"/>
          <w:sz w:val="30"/>
          <w:szCs w:val="30"/>
        </w:rPr>
        <w:t>三、</w:t>
      </w:r>
      <w:bookmarkStart w:id="2" w:name="三"/>
      <w:bookmarkEnd w:id="2"/>
      <w:r>
        <w:rPr>
          <w:rFonts w:hint="eastAsia" w:ascii="黑体" w:hAnsi="黑体" w:eastAsia="黑体" w:cs="黑体"/>
          <w:b/>
          <w:color w:val="000000"/>
          <w:kern w:val="0"/>
          <w:sz w:val="30"/>
          <w:szCs w:val="30"/>
        </w:rPr>
        <w:t>修业年限</w:t>
      </w:r>
    </w:p>
    <w:p>
      <w:pPr>
        <w:adjustRightIn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学制三年。</w:t>
      </w:r>
    </w:p>
    <w:p>
      <w:pPr>
        <w:adjustRightInd w:val="0"/>
        <w:spacing w:line="360" w:lineRule="auto"/>
        <w:rPr>
          <w:rFonts w:ascii="黑体" w:hAnsi="黑体" w:eastAsia="黑体"/>
          <w:b/>
          <w:color w:val="000000"/>
          <w:sz w:val="30"/>
          <w:szCs w:val="30"/>
        </w:rPr>
      </w:pPr>
      <w:r>
        <w:rPr>
          <w:rFonts w:hint="eastAsia" w:ascii="黑体" w:hAnsi="黑体" w:eastAsia="黑体"/>
          <w:b/>
          <w:color w:val="000000"/>
          <w:sz w:val="30"/>
          <w:szCs w:val="30"/>
        </w:rPr>
        <w:t>四</w:t>
      </w:r>
      <w:r>
        <w:rPr>
          <w:rFonts w:ascii="黑体" w:hAnsi="黑体" w:eastAsia="黑体"/>
          <w:b/>
          <w:color w:val="000000"/>
          <w:sz w:val="30"/>
          <w:szCs w:val="30"/>
        </w:rPr>
        <w:t>、</w:t>
      </w:r>
      <w:bookmarkStart w:id="3" w:name="四"/>
      <w:bookmarkEnd w:id="3"/>
      <w:r>
        <w:rPr>
          <w:rFonts w:ascii="黑体" w:hAnsi="黑体" w:eastAsia="黑体"/>
          <w:b/>
          <w:color w:val="000000"/>
          <w:sz w:val="30"/>
          <w:szCs w:val="30"/>
        </w:rPr>
        <w:t>职业面向</w:t>
      </w:r>
    </w:p>
    <w:p>
      <w:pPr>
        <w:spacing w:line="360" w:lineRule="auto"/>
        <w:ind w:firstLine="480" w:firstLineChars="200"/>
        <w:jc w:val="left"/>
        <w:rPr>
          <w:rFonts w:ascii="仿宋" w:hAnsi="仿宋" w:eastAsia="仿宋"/>
          <w:color w:val="000000"/>
          <w:sz w:val="24"/>
          <w:szCs w:val="24"/>
        </w:rPr>
      </w:pPr>
      <w:r>
        <w:rPr>
          <w:rFonts w:hint="eastAsia" w:ascii="仿宋" w:hAnsi="仿宋" w:eastAsia="仿宋"/>
          <w:color w:val="000000"/>
          <w:sz w:val="24"/>
          <w:szCs w:val="24"/>
        </w:rPr>
        <w:t>毕业生面向建筑工程施工、土木工程施工等企业就业或自主创业，从事建筑施工、质量安全检查、土建预算、建筑企业资料管理、施工企业招投标、房地产销售等工作。</w:t>
      </w:r>
    </w:p>
    <w:p>
      <w:pPr>
        <w:spacing w:line="480" w:lineRule="exact"/>
        <w:jc w:val="center"/>
        <w:rPr>
          <w:rFonts w:ascii="仿宋" w:hAnsi="仿宋" w:eastAsia="仿宋" w:cs="仿宋"/>
          <w:b/>
          <w:sz w:val="30"/>
          <w:szCs w:val="30"/>
        </w:rPr>
      </w:pPr>
      <w:r>
        <w:rPr>
          <w:rFonts w:hint="eastAsia" w:ascii="仿宋" w:hAnsi="仿宋" w:eastAsia="仿宋" w:cs="仿宋"/>
          <w:b/>
          <w:bCs/>
          <w:sz w:val="24"/>
          <w:szCs w:val="24"/>
        </w:rPr>
        <w:t>表1 职业面向</w:t>
      </w:r>
    </w:p>
    <w:tbl>
      <w:tblPr>
        <w:tblStyle w:val="10"/>
        <w:tblpPr w:leftFromText="180" w:rightFromText="180" w:vertAnchor="text" w:horzAnchor="page" w:tblpXSpec="center" w:tblpY="220"/>
        <w:tblOverlap w:val="never"/>
        <w:tblW w:w="532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83"/>
        <w:gridCol w:w="5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863" w:type="pct"/>
            <w:vAlign w:val="center"/>
          </w:tcPr>
          <w:p>
            <w:pPr>
              <w:jc w:val="center"/>
              <w:rPr>
                <w:rFonts w:ascii="仿宋" w:hAnsi="仿宋" w:eastAsia="仿宋" w:cs="仿宋"/>
                <w:b/>
                <w:bCs/>
                <w:sz w:val="24"/>
                <w:szCs w:val="24"/>
              </w:rPr>
            </w:pPr>
            <w:r>
              <w:rPr>
                <w:rFonts w:hint="eastAsia" w:ascii="仿宋" w:hAnsi="仿宋" w:eastAsia="仿宋" w:cs="仿宋"/>
                <w:b/>
                <w:bCs/>
                <w:sz w:val="24"/>
                <w:szCs w:val="24"/>
              </w:rPr>
              <w:t>所属专业大类（代码）</w:t>
            </w:r>
          </w:p>
        </w:tc>
        <w:tc>
          <w:tcPr>
            <w:tcW w:w="3136" w:type="pct"/>
            <w:vAlign w:val="center"/>
          </w:tcPr>
          <w:p>
            <w:pPr>
              <w:jc w:val="center"/>
              <w:rPr>
                <w:rFonts w:ascii="仿宋" w:hAnsi="仿宋" w:eastAsia="仿宋" w:cs="仿宋"/>
                <w:sz w:val="24"/>
                <w:szCs w:val="24"/>
              </w:rPr>
            </w:pPr>
            <w:r>
              <w:rPr>
                <w:rFonts w:hint="eastAsia" w:ascii="仿宋" w:hAnsi="仿宋" w:eastAsia="仿宋" w:cs="仿宋"/>
                <w:sz w:val="24"/>
                <w:szCs w:val="24"/>
              </w:rPr>
              <w:t>土木建筑大类（44）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863" w:type="pct"/>
            <w:vAlign w:val="center"/>
          </w:tcPr>
          <w:p>
            <w:pPr>
              <w:jc w:val="center"/>
              <w:rPr>
                <w:rFonts w:ascii="仿宋" w:hAnsi="仿宋" w:eastAsia="仿宋" w:cs="仿宋"/>
                <w:b/>
                <w:bCs/>
                <w:sz w:val="24"/>
                <w:szCs w:val="24"/>
              </w:rPr>
            </w:pPr>
            <w:r>
              <w:rPr>
                <w:rFonts w:hint="eastAsia" w:ascii="仿宋" w:hAnsi="仿宋" w:eastAsia="仿宋" w:cs="仿宋"/>
                <w:b/>
                <w:bCs/>
                <w:sz w:val="24"/>
                <w:szCs w:val="24"/>
              </w:rPr>
              <w:t>所属专业类（代码）</w:t>
            </w:r>
          </w:p>
        </w:tc>
        <w:tc>
          <w:tcPr>
            <w:tcW w:w="3136" w:type="pct"/>
            <w:vAlign w:val="center"/>
          </w:tcPr>
          <w:p>
            <w:pPr>
              <w:jc w:val="center"/>
              <w:rPr>
                <w:rFonts w:ascii="仿宋" w:hAnsi="仿宋" w:eastAsia="仿宋" w:cs="仿宋"/>
                <w:sz w:val="24"/>
                <w:szCs w:val="24"/>
              </w:rPr>
            </w:pPr>
            <w:r>
              <w:rPr>
                <w:rFonts w:hint="eastAsia" w:ascii="仿宋" w:hAnsi="仿宋" w:eastAsia="仿宋" w:cs="仿宋"/>
                <w:sz w:val="24"/>
                <w:szCs w:val="24"/>
              </w:rPr>
              <w:t>土建施工类（4403）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863" w:type="pct"/>
            <w:vAlign w:val="center"/>
          </w:tcPr>
          <w:p>
            <w:pPr>
              <w:jc w:val="center"/>
              <w:rPr>
                <w:rFonts w:ascii="仿宋" w:hAnsi="仿宋" w:eastAsia="仿宋" w:cs="仿宋"/>
                <w:b/>
                <w:bCs/>
                <w:sz w:val="24"/>
                <w:szCs w:val="24"/>
              </w:rPr>
            </w:pPr>
            <w:r>
              <w:rPr>
                <w:rFonts w:hint="eastAsia" w:ascii="仿宋" w:hAnsi="仿宋" w:eastAsia="仿宋" w:cs="仿宋"/>
                <w:b/>
                <w:bCs/>
                <w:sz w:val="24"/>
                <w:szCs w:val="24"/>
              </w:rPr>
              <w:t>对应行业（代码）</w:t>
            </w:r>
          </w:p>
        </w:tc>
        <w:tc>
          <w:tcPr>
            <w:tcW w:w="3136" w:type="pct"/>
            <w:vAlign w:val="center"/>
          </w:tcPr>
          <w:p>
            <w:pPr>
              <w:jc w:val="center"/>
              <w:rPr>
                <w:rFonts w:ascii="仿宋" w:hAnsi="仿宋" w:eastAsia="仿宋" w:cs="仿宋"/>
                <w:sz w:val="24"/>
                <w:szCs w:val="24"/>
              </w:rPr>
            </w:pPr>
            <w:r>
              <w:rPr>
                <w:rFonts w:hint="eastAsia" w:ascii="仿宋" w:hAnsi="仿宋" w:eastAsia="仿宋" w:cs="仿宋"/>
                <w:sz w:val="24"/>
                <w:szCs w:val="24"/>
              </w:rPr>
              <w:t>土木工程建筑业（69）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863" w:type="pct"/>
            <w:vAlign w:val="center"/>
          </w:tcPr>
          <w:p>
            <w:pPr>
              <w:jc w:val="center"/>
              <w:rPr>
                <w:rFonts w:ascii="仿宋" w:hAnsi="仿宋" w:eastAsia="仿宋" w:cs="仿宋"/>
                <w:b/>
                <w:bCs/>
                <w:sz w:val="24"/>
                <w:szCs w:val="24"/>
              </w:rPr>
            </w:pPr>
            <w:r>
              <w:rPr>
                <w:rFonts w:hint="eastAsia" w:ascii="仿宋" w:hAnsi="仿宋" w:eastAsia="仿宋" w:cs="仿宋"/>
                <w:b/>
                <w:bCs/>
                <w:sz w:val="24"/>
                <w:szCs w:val="24"/>
              </w:rPr>
              <w:t>主要职业类别（代码）</w:t>
            </w:r>
          </w:p>
        </w:tc>
        <w:tc>
          <w:tcPr>
            <w:tcW w:w="3136" w:type="pct"/>
            <w:vAlign w:val="center"/>
          </w:tcPr>
          <w:p>
            <w:pPr>
              <w:jc w:val="center"/>
              <w:rPr>
                <w:rFonts w:ascii="仿宋" w:hAnsi="仿宋" w:eastAsia="仿宋" w:cs="仿宋"/>
                <w:sz w:val="24"/>
                <w:szCs w:val="24"/>
              </w:rPr>
            </w:pPr>
            <w:r>
              <w:rPr>
                <w:rFonts w:hint="eastAsia" w:ascii="仿宋" w:hAnsi="仿宋" w:eastAsia="仿宋" w:cs="仿宋"/>
                <w:sz w:val="24"/>
                <w:szCs w:val="24"/>
              </w:rPr>
              <w:t>建筑工程技术人员（2-02-21-00）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exact"/>
          <w:jc w:val="center"/>
        </w:trPr>
        <w:tc>
          <w:tcPr>
            <w:tcW w:w="1863" w:type="pct"/>
            <w:vAlign w:val="center"/>
          </w:tcPr>
          <w:p>
            <w:pPr>
              <w:jc w:val="center"/>
              <w:rPr>
                <w:rFonts w:ascii="仿宋" w:hAnsi="仿宋" w:eastAsia="仿宋" w:cs="仿宋"/>
                <w:b/>
                <w:bCs/>
                <w:sz w:val="24"/>
                <w:szCs w:val="24"/>
              </w:rPr>
            </w:pPr>
            <w:r>
              <w:rPr>
                <w:rFonts w:hint="eastAsia" w:ascii="仿宋" w:hAnsi="仿宋" w:eastAsia="仿宋" w:cs="仿宋"/>
                <w:b/>
                <w:bCs/>
                <w:sz w:val="24"/>
                <w:szCs w:val="24"/>
              </w:rPr>
              <w:t>主要岗位类别（或技术领域）</w:t>
            </w:r>
          </w:p>
        </w:tc>
        <w:tc>
          <w:tcPr>
            <w:tcW w:w="3136" w:type="pct"/>
            <w:vAlign w:val="center"/>
          </w:tcPr>
          <w:p>
            <w:pPr>
              <w:jc w:val="center"/>
              <w:rPr>
                <w:rFonts w:ascii="仿宋" w:hAnsi="仿宋" w:eastAsia="仿宋" w:cs="仿宋"/>
                <w:sz w:val="24"/>
                <w:szCs w:val="24"/>
              </w:rPr>
            </w:pPr>
            <w:r>
              <w:rPr>
                <w:rFonts w:hint="eastAsia" w:ascii="仿宋" w:hAnsi="仿宋" w:eastAsia="仿宋" w:cs="仿宋"/>
                <w:sz w:val="24"/>
                <w:szCs w:val="24"/>
              </w:rPr>
              <w:t>施工员、质量员、安全员、技术员、资料员、预算员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4" w:hRule="exact"/>
          <w:jc w:val="center"/>
        </w:trPr>
        <w:tc>
          <w:tcPr>
            <w:tcW w:w="1863" w:type="pct"/>
            <w:vAlign w:val="center"/>
          </w:tcPr>
          <w:p>
            <w:pPr>
              <w:jc w:val="center"/>
              <w:rPr>
                <w:rFonts w:ascii="仿宋" w:hAnsi="仿宋" w:eastAsia="仿宋" w:cs="仿宋"/>
                <w:b/>
                <w:bCs/>
                <w:sz w:val="24"/>
                <w:szCs w:val="24"/>
              </w:rPr>
            </w:pPr>
            <w:r>
              <w:rPr>
                <w:rFonts w:hint="eastAsia" w:ascii="仿宋" w:hAnsi="仿宋" w:eastAsia="仿宋" w:cs="仿宋"/>
                <w:b/>
                <w:bCs/>
                <w:sz w:val="24"/>
                <w:szCs w:val="24"/>
              </w:rPr>
              <w:t>职业资格证书或技能等级证书</w:t>
            </w:r>
          </w:p>
        </w:tc>
        <w:tc>
          <w:tcPr>
            <w:tcW w:w="3136" w:type="pct"/>
            <w:vAlign w:val="center"/>
          </w:tcPr>
          <w:p>
            <w:pPr>
              <w:jc w:val="left"/>
              <w:rPr>
                <w:rFonts w:ascii="仿宋" w:hAnsi="仿宋" w:eastAsia="仿宋" w:cs="仿宋"/>
                <w:sz w:val="24"/>
                <w:szCs w:val="24"/>
              </w:rPr>
            </w:pPr>
            <w:r>
              <w:rPr>
                <w:rFonts w:hint="eastAsia" w:ascii="仿宋" w:hAnsi="仿宋" w:eastAsia="仿宋" w:cs="仿宋"/>
                <w:sz w:val="24"/>
                <w:szCs w:val="24"/>
              </w:rPr>
              <w:t>施工员证书、质量员证书、安全员证书、标准员证书、材料员证书、测量员证书、资料员证书、注册建造师证书、注册监理工程师证书等。</w:t>
            </w:r>
          </w:p>
        </w:tc>
      </w:tr>
    </w:tbl>
    <w:p>
      <w:pPr>
        <w:adjustRightInd w:val="0"/>
        <w:spacing w:line="360" w:lineRule="auto"/>
        <w:rPr>
          <w:rFonts w:ascii="黑体" w:hAnsi="黑体" w:eastAsia="黑体"/>
          <w:b/>
          <w:color w:val="000000"/>
          <w:sz w:val="30"/>
          <w:szCs w:val="30"/>
        </w:rPr>
      </w:pPr>
      <w:r>
        <w:rPr>
          <w:rFonts w:hint="eastAsia" w:ascii="黑体" w:hAnsi="黑体" w:eastAsia="黑体"/>
          <w:b/>
          <w:color w:val="000000"/>
          <w:sz w:val="30"/>
          <w:szCs w:val="30"/>
        </w:rPr>
        <w:t>五、培养目标及规格</w:t>
      </w:r>
    </w:p>
    <w:p>
      <w:pPr>
        <w:tabs>
          <w:tab w:val="left" w:pos="6420"/>
        </w:tabs>
        <w:adjustRightInd w:val="0"/>
        <w:spacing w:line="360" w:lineRule="auto"/>
        <w:rPr>
          <w:rFonts w:ascii="黑体" w:hAnsi="黑体" w:eastAsia="黑体"/>
          <w:b/>
          <w:color w:val="000000"/>
          <w:sz w:val="28"/>
          <w:szCs w:val="30"/>
        </w:rPr>
      </w:pPr>
      <w:r>
        <w:rPr>
          <w:rFonts w:hint="eastAsia" w:ascii="黑体" w:hAnsi="黑体" w:eastAsia="黑体"/>
          <w:b/>
          <w:color w:val="000000"/>
          <w:sz w:val="28"/>
          <w:szCs w:val="30"/>
        </w:rPr>
        <w:t xml:space="preserve">    （一）</w:t>
      </w:r>
      <w:bookmarkStart w:id="4" w:name="五一"/>
      <w:bookmarkEnd w:id="4"/>
      <w:r>
        <w:rPr>
          <w:rFonts w:hint="eastAsia" w:ascii="黑体" w:hAnsi="黑体" w:eastAsia="黑体"/>
          <w:b/>
          <w:color w:val="000000"/>
          <w:sz w:val="28"/>
          <w:szCs w:val="30"/>
        </w:rPr>
        <w:t>培养目标</w:t>
      </w:r>
      <w:r>
        <w:rPr>
          <w:rFonts w:ascii="黑体" w:hAnsi="黑体" w:eastAsia="黑体"/>
          <w:b/>
          <w:color w:val="000000"/>
          <w:sz w:val="28"/>
          <w:szCs w:val="30"/>
        </w:rPr>
        <w:tab/>
      </w:r>
    </w:p>
    <w:p>
      <w:pPr>
        <w:adjustRightInd w:val="0"/>
        <w:spacing w:line="360" w:lineRule="auto"/>
        <w:ind w:firstLine="480" w:firstLineChars="200"/>
        <w:rPr>
          <w:rFonts w:ascii="黑体" w:hAnsi="黑体" w:eastAsia="黑体"/>
          <w:color w:val="000000"/>
          <w:sz w:val="28"/>
          <w:szCs w:val="30"/>
        </w:rPr>
      </w:pPr>
      <w:r>
        <w:rPr>
          <w:rFonts w:hint="eastAsia" w:ascii="仿宋" w:hAnsi="仿宋" w:eastAsia="仿宋" w:cs="仿宋"/>
          <w:sz w:val="24"/>
          <w:szCs w:val="24"/>
        </w:rPr>
        <w:t>本专业秉承“德育为先、能力为重、全面发展”的育人理念，培养理想信念坚定，德、智、体、美、劳全面发展，具有良好的人文素养、职业道德、创新创业意识、工匠精神和可持续发展的能力，掌握建筑工程专业知识和技术技能，面向建筑工程施工技术员、土木工程施工</w:t>
      </w:r>
      <w:r>
        <w:rPr>
          <w:rFonts w:hint="eastAsia" w:ascii="仿宋" w:hAnsi="仿宋" w:eastAsia="仿宋" w:cs="仿宋"/>
          <w:sz w:val="24"/>
          <w:szCs w:val="24"/>
          <w:lang w:eastAsia="zh-CN"/>
        </w:rPr>
        <w:t>管理人</w:t>
      </w:r>
      <w:r>
        <w:rPr>
          <w:rFonts w:hint="eastAsia" w:ascii="仿宋" w:hAnsi="仿宋" w:eastAsia="仿宋" w:cs="仿宋"/>
          <w:sz w:val="24"/>
          <w:szCs w:val="24"/>
        </w:rPr>
        <w:t>员等职业群，能够从事建筑工程施工与管理相关工作的高素质技术技能人才。</w:t>
      </w:r>
    </w:p>
    <w:p>
      <w:pPr>
        <w:adjustRightInd w:val="0"/>
        <w:spacing w:line="360" w:lineRule="auto"/>
        <w:ind w:firstLine="562" w:firstLineChars="200"/>
        <w:rPr>
          <w:rFonts w:ascii="黑体" w:hAnsi="黑体" w:eastAsia="黑体"/>
          <w:b/>
          <w:color w:val="000000"/>
          <w:sz w:val="28"/>
          <w:szCs w:val="30"/>
        </w:rPr>
      </w:pPr>
      <w:r>
        <w:rPr>
          <w:rFonts w:hint="eastAsia" w:ascii="黑体" w:hAnsi="黑体" w:eastAsia="黑体"/>
          <w:b/>
          <w:color w:val="000000"/>
          <w:sz w:val="28"/>
          <w:szCs w:val="30"/>
        </w:rPr>
        <w:t>（二）</w:t>
      </w:r>
      <w:bookmarkStart w:id="5" w:name="五二"/>
      <w:bookmarkEnd w:id="5"/>
      <w:r>
        <w:rPr>
          <w:rFonts w:hint="eastAsia" w:ascii="黑体" w:hAnsi="黑体" w:eastAsia="黑体"/>
          <w:b/>
          <w:color w:val="000000"/>
          <w:sz w:val="28"/>
          <w:szCs w:val="30"/>
        </w:rPr>
        <w:t>培养规格</w:t>
      </w:r>
    </w:p>
    <w:p>
      <w:pPr>
        <w:adjustRightIn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本专业毕业生应在素质、知识和能力方面达到以下要求。</w:t>
      </w:r>
    </w:p>
    <w:p>
      <w:pPr>
        <w:adjustRightInd w:val="0"/>
        <w:spacing w:line="360" w:lineRule="auto"/>
        <w:ind w:firstLine="482" w:firstLineChars="200"/>
        <w:rPr>
          <w:rFonts w:ascii="仿宋" w:hAnsi="仿宋" w:eastAsia="仿宋"/>
          <w:b/>
          <w:color w:val="000000"/>
          <w:sz w:val="24"/>
          <w:szCs w:val="24"/>
        </w:rPr>
      </w:pPr>
      <w:r>
        <w:rPr>
          <w:rFonts w:hint="eastAsia" w:ascii="仿宋" w:hAnsi="仿宋" w:eastAsia="仿宋"/>
          <w:b/>
          <w:color w:val="000000"/>
          <w:sz w:val="24"/>
          <w:szCs w:val="24"/>
        </w:rPr>
        <w:t>1.素质</w:t>
      </w:r>
    </w:p>
    <w:p>
      <w:pPr>
        <w:adjustRightIn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（1）坚定拥护中国共产党领导和中国特色社会主义制度，在习近平新时</w:t>
      </w:r>
    </w:p>
    <w:p>
      <w:pPr>
        <w:adjustRightInd w:val="0"/>
        <w:spacing w:line="360" w:lineRule="auto"/>
        <w:rPr>
          <w:rFonts w:ascii="仿宋" w:hAnsi="仿宋" w:eastAsia="仿宋"/>
          <w:color w:val="000000"/>
          <w:sz w:val="24"/>
          <w:szCs w:val="24"/>
        </w:rPr>
      </w:pPr>
      <w:r>
        <w:rPr>
          <w:rFonts w:hint="eastAsia" w:ascii="仿宋" w:hAnsi="仿宋" w:eastAsia="仿宋"/>
          <w:color w:val="000000"/>
          <w:sz w:val="24"/>
          <w:szCs w:val="24"/>
        </w:rPr>
        <w:t>代中国特色社会主义思想指引下，树立崇高理想信念，践行社会主义核心价值观，具有深厚的爱国主义情感和中华民族自豪感；</w:t>
      </w:r>
    </w:p>
    <w:p>
      <w:pPr>
        <w:adjustRightIn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（2）崇尚宪法、遵纪守法、崇德向善、诚实守信、尊重生命，履行道德准则和行为规范，具有社会责任感和社会参与意识；</w:t>
      </w:r>
    </w:p>
    <w:p>
      <w:pPr>
        <w:adjustRightIn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（3）崇尚劳动、爱岗敬业，具有较强的质量意识、环保意识、安全意识、奉献意识、创新意识，具有从事建筑工程施工、安全管理、质量检测等工作的良好职业道德、职业素养和精益求精的工匠精神；</w:t>
      </w:r>
    </w:p>
    <w:p>
      <w:pPr>
        <w:adjustRightIn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（4）有科学的职业生涯规划和切合实际的职业发展目标，能主动适应建筑工程施工、管理、监督等工作的现实环境，有良好的人际关系和较强的团队合作精神；</w:t>
      </w:r>
    </w:p>
    <w:p>
      <w:pPr>
        <w:adjustRightIn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（5）具有健康的体魄、心理和健全的人格，掌握基本运动知识和一两项运动技能，养成良好的健身与卫生习惯、良好的行为习惯；</w:t>
      </w:r>
    </w:p>
    <w:p>
      <w:pPr>
        <w:adjustRightIn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（6）具有一定的审美和人文素养，能够形成一两项艺术特</w:t>
      </w:r>
      <w:r>
        <w:rPr>
          <w:rFonts w:hint="eastAsia" w:ascii="仿宋" w:hAnsi="仿宋" w:eastAsia="仿宋"/>
          <w:color w:val="000000"/>
          <w:sz w:val="24"/>
          <w:szCs w:val="24"/>
          <w:lang w:eastAsia="zh-CN"/>
        </w:rPr>
        <w:t>长</w:t>
      </w:r>
      <w:r>
        <w:rPr>
          <w:rFonts w:hint="eastAsia" w:ascii="仿宋" w:hAnsi="仿宋" w:eastAsia="仿宋"/>
          <w:color w:val="000000"/>
          <w:sz w:val="24"/>
          <w:szCs w:val="24"/>
        </w:rPr>
        <w:t>和爱好。</w:t>
      </w:r>
    </w:p>
    <w:p>
      <w:pPr>
        <w:adjustRightInd w:val="0"/>
        <w:spacing w:line="360" w:lineRule="auto"/>
        <w:ind w:firstLine="482" w:firstLineChars="200"/>
        <w:rPr>
          <w:rFonts w:ascii="仿宋" w:hAnsi="仿宋" w:eastAsia="仿宋"/>
          <w:b/>
          <w:color w:val="000000"/>
          <w:sz w:val="24"/>
          <w:szCs w:val="24"/>
        </w:rPr>
      </w:pPr>
      <w:r>
        <w:rPr>
          <w:rFonts w:hint="eastAsia" w:ascii="仿宋" w:hAnsi="仿宋" w:eastAsia="仿宋"/>
          <w:b/>
          <w:color w:val="000000"/>
          <w:sz w:val="24"/>
          <w:szCs w:val="24"/>
        </w:rPr>
        <w:t>2.知识</w:t>
      </w:r>
    </w:p>
    <w:p>
      <w:pPr>
        <w:adjustRightIn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（1）掌握必备的思想政治理论、中华优秀传统文化和科学文化等知识；</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 熟悉本专业相关的法律法规以及环境保护、安全生产、生态文明等相关知识；</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（3）熟悉工程材料的基本知识；</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（4）掌握施工图识读、绘制的基本知识；</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（5）熟悉工程施工工艺和方法；</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（6）熟悉工程项目管理的基本知识；</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（7）熟悉相关专业的力学知识；</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（8）熟悉建筑结构、建筑构造和建筑设备的基本知识；</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（9）熟悉工程预算的基本知识；</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（10）掌握计算机和相关资料信息管理软件的应用知识；</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（11）熟悉施工测量的基本知识；</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（12）熟悉与本岗位相关的标准和管理规定； </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（13）掌握施工组织设计及专项施工方案的内容和编写方法；</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（14）掌握施工进度计划的编制方法；</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（15）熟悉环境与职业健康安全管理的基本知识；</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（16）熟悉工程质量管理的基本知识；</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（17）熟悉工程成本管理的基本知识；</w:t>
      </w:r>
    </w:p>
    <w:p>
      <w:pPr>
        <w:adjustRightInd w:val="0"/>
        <w:spacing w:line="360" w:lineRule="auto"/>
        <w:ind w:firstLine="480" w:firstLineChars="200"/>
        <w:rPr>
          <w:rFonts w:ascii="仿宋" w:hAnsi="仿宋" w:eastAsia="仿宋"/>
          <w:color w:val="000000"/>
          <w:sz w:val="24"/>
          <w:szCs w:val="24"/>
        </w:rPr>
      </w:pPr>
      <w:r>
        <w:rPr>
          <w:rFonts w:hint="eastAsia" w:ascii="仿宋" w:hAnsi="仿宋" w:eastAsia="仿宋" w:cs="仿宋"/>
          <w:sz w:val="24"/>
          <w:szCs w:val="24"/>
        </w:rPr>
        <w:t>（18）了解常用施工机械机具的性能。</w:t>
      </w:r>
    </w:p>
    <w:p>
      <w:pPr>
        <w:adjustRightInd w:val="0"/>
        <w:spacing w:line="360" w:lineRule="auto"/>
        <w:ind w:firstLine="482" w:firstLineChars="200"/>
        <w:rPr>
          <w:rFonts w:ascii="仿宋" w:hAnsi="仿宋" w:eastAsia="仿宋"/>
          <w:b/>
          <w:color w:val="000000"/>
          <w:sz w:val="24"/>
          <w:szCs w:val="24"/>
        </w:rPr>
      </w:pPr>
      <w:r>
        <w:rPr>
          <w:rFonts w:hint="eastAsia" w:ascii="仿宋" w:hAnsi="仿宋" w:eastAsia="仿宋"/>
          <w:b/>
          <w:color w:val="000000"/>
          <w:sz w:val="24"/>
          <w:szCs w:val="24"/>
        </w:rPr>
        <w:t>3.能力</w:t>
      </w:r>
    </w:p>
    <w:p>
      <w:pPr>
        <w:adjustRightIn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（1）具有终身学习、探究学习，以及用马克思主义立场、观点和方法认识问题、分析问题和解决问题的能力；</w:t>
      </w:r>
    </w:p>
    <w:p>
      <w:pPr>
        <w:adjustRightIn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（2）具有服务人民、奉献社会的专业实践和岗位适应能力；</w:t>
      </w:r>
    </w:p>
    <w:p>
      <w:pPr>
        <w:adjustRightInd w:val="0"/>
        <w:spacing w:line="360" w:lineRule="auto"/>
        <w:ind w:firstLine="480" w:firstLineChars="200"/>
        <w:rPr>
          <w:rFonts w:ascii="仿宋" w:hAnsi="仿宋" w:eastAsia="仿宋"/>
          <w:color w:val="000000"/>
          <w:sz w:val="24"/>
          <w:szCs w:val="24"/>
        </w:rPr>
      </w:pPr>
      <w:r>
        <w:rPr>
          <w:rFonts w:hint="eastAsia" w:ascii="仿宋" w:hAnsi="仿宋" w:eastAsia="仿宋"/>
          <w:color w:val="000000"/>
          <w:sz w:val="24"/>
          <w:szCs w:val="24"/>
        </w:rPr>
        <w:t>（3）具有瞄准世界一流，勇于创新超越的能力；</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（4）能够参与编制施工组织设计和专项施工方案；</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（5）能够识读施工图和其他工程设计、施工等文件；</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（6）能够编写技术交底文件，并实施技术交底；</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（7）能够正确使用测量仪器，并进行测量；</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（8）能够正确划分施工区段，合理确定施工顺序；</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（9）能够进行资源平衡计算，参与编制施工进度计划及资源需求计划；</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（10）能够进行工程量计算及初步的工程计价；</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（11）能够确定施工质量控制点，参与编制质量控制文件、实施质量交底；</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（12）能够确定施工安全防范重点，参与编制职业健康安全与环境技术文件、实施安全和环境交底；</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（13）能够识别、分析、处理施工质量缺陷和危险源；</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（14）能够参与施工质量、职业健康安全与环境问题的调查分析；</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（15）能够记录施工情况，编制相关工程技术资料；</w:t>
      </w:r>
    </w:p>
    <w:p>
      <w:pPr>
        <w:spacing w:line="480" w:lineRule="exact"/>
        <w:ind w:firstLine="480" w:firstLineChars="200"/>
        <w:rPr>
          <w:rFonts w:ascii="仿宋" w:hAnsi="仿宋" w:eastAsia="仿宋"/>
          <w:color w:val="000000"/>
          <w:sz w:val="24"/>
          <w:szCs w:val="24"/>
        </w:rPr>
      </w:pPr>
      <w:r>
        <w:rPr>
          <w:rFonts w:hint="eastAsia" w:ascii="仿宋" w:hAnsi="仿宋" w:eastAsia="仿宋" w:cs="仿宋"/>
          <w:sz w:val="24"/>
          <w:szCs w:val="24"/>
        </w:rPr>
        <w:t>（16）能够利用专业软件对工程信息资料进行处理。</w:t>
      </w:r>
    </w:p>
    <w:p>
      <w:pPr>
        <w:spacing w:line="480" w:lineRule="exact"/>
        <w:rPr>
          <w:rFonts w:ascii="黑体" w:hAnsi="黑体" w:eastAsia="黑体"/>
          <w:b/>
          <w:color w:val="000000"/>
          <w:sz w:val="30"/>
          <w:szCs w:val="30"/>
        </w:rPr>
      </w:pPr>
      <w:r>
        <w:rPr>
          <w:rFonts w:hint="eastAsia" w:ascii="黑体" w:hAnsi="黑体" w:eastAsia="黑体"/>
          <w:b/>
          <w:color w:val="000000"/>
          <w:sz w:val="30"/>
          <w:szCs w:val="30"/>
        </w:rPr>
        <w:t>六、课程设置及要求</w:t>
      </w:r>
    </w:p>
    <w:p>
      <w:pPr>
        <w:spacing w:line="480" w:lineRule="exact"/>
        <w:ind w:firstLine="482" w:firstLineChars="200"/>
        <w:rPr>
          <w:rFonts w:ascii="黑体" w:hAnsi="黑体" w:eastAsia="黑体" w:cs="华文仿宋"/>
          <w:b/>
          <w:sz w:val="24"/>
          <w:szCs w:val="24"/>
        </w:rPr>
      </w:pPr>
      <w:r>
        <w:rPr>
          <w:rFonts w:hint="eastAsia" w:ascii="黑体" w:hAnsi="黑体" w:eastAsia="黑体" w:cs="华文仿宋"/>
          <w:b/>
          <w:sz w:val="24"/>
          <w:szCs w:val="24"/>
        </w:rPr>
        <w:t>（一）“岗课赛证”融通</w:t>
      </w:r>
    </w:p>
    <w:p>
      <w:pPr>
        <w:spacing w:line="480" w:lineRule="exact"/>
        <w:ind w:firstLine="480" w:firstLineChars="200"/>
        <w:rPr>
          <w:rFonts w:ascii="仿宋" w:hAnsi="仿宋" w:eastAsia="仿宋" w:cs="仿宋"/>
          <w:sz w:val="24"/>
          <w:szCs w:val="24"/>
        </w:rPr>
      </w:pPr>
      <w:r>
        <w:rPr>
          <w:rFonts w:ascii="仿宋" w:hAnsi="仿宋" w:eastAsia="仿宋" w:cs="仿宋"/>
          <w:sz w:val="24"/>
          <w:szCs w:val="24"/>
        </w:rPr>
        <w:t>以竞赛任务为引领，结合</w:t>
      </w:r>
      <w:r>
        <w:rPr>
          <w:rFonts w:hint="eastAsia" w:ascii="仿宋" w:hAnsi="仿宋" w:eastAsia="仿宋" w:cs="仿宋"/>
          <w:sz w:val="24"/>
          <w:szCs w:val="24"/>
        </w:rPr>
        <w:t>土建专业</w:t>
      </w:r>
      <w:r>
        <w:rPr>
          <w:rFonts w:ascii="仿宋" w:hAnsi="仿宋" w:eastAsia="仿宋" w:cs="仿宋"/>
          <w:sz w:val="24"/>
          <w:szCs w:val="24"/>
        </w:rPr>
        <w:t>职业岗位能力要求改革课程教学内容，对原有教学项目进行改造，转化为课堂实践教学项目</w:t>
      </w:r>
      <w:r>
        <w:rPr>
          <w:rFonts w:hint="eastAsia" w:ascii="仿宋" w:hAnsi="仿宋" w:eastAsia="仿宋" w:cs="仿宋"/>
          <w:sz w:val="24"/>
          <w:szCs w:val="24"/>
        </w:rPr>
        <w:t>。建筑工程技术</w:t>
      </w:r>
      <w:r>
        <w:rPr>
          <w:rFonts w:ascii="仿宋" w:hAnsi="仿宋" w:eastAsia="仿宋" w:cs="仿宋"/>
          <w:sz w:val="24"/>
          <w:szCs w:val="24"/>
        </w:rPr>
        <w:t>专业</w:t>
      </w:r>
      <w:r>
        <w:rPr>
          <w:rFonts w:hint="eastAsia" w:ascii="仿宋" w:hAnsi="仿宋" w:eastAsia="仿宋" w:cs="仿宋"/>
          <w:sz w:val="24"/>
          <w:szCs w:val="24"/>
        </w:rPr>
        <w:t>群</w:t>
      </w:r>
      <w:r>
        <w:rPr>
          <w:rFonts w:ascii="仿宋" w:hAnsi="仿宋" w:eastAsia="仿宋" w:cs="仿宋"/>
          <w:sz w:val="24"/>
          <w:szCs w:val="24"/>
        </w:rPr>
        <w:t>在</w:t>
      </w:r>
      <w:r>
        <w:rPr>
          <w:rFonts w:hint="eastAsia" w:ascii="仿宋" w:hAnsi="仿宋" w:eastAsia="仿宋" w:cs="仿宋"/>
          <w:sz w:val="24"/>
          <w:szCs w:val="24"/>
        </w:rPr>
        <w:t>大赛</w:t>
      </w:r>
      <w:r>
        <w:rPr>
          <w:rFonts w:ascii="仿宋" w:hAnsi="仿宋" w:eastAsia="仿宋" w:cs="仿宋"/>
          <w:sz w:val="24"/>
          <w:szCs w:val="24"/>
        </w:rPr>
        <w:t>所涉及技能点、新技术</w:t>
      </w:r>
      <w:r>
        <w:rPr>
          <w:rFonts w:hint="eastAsia" w:ascii="仿宋" w:hAnsi="仿宋" w:eastAsia="仿宋" w:cs="仿宋"/>
          <w:sz w:val="24"/>
          <w:szCs w:val="24"/>
        </w:rPr>
        <w:t>要求分析</w:t>
      </w:r>
      <w:r>
        <w:rPr>
          <w:rFonts w:ascii="仿宋" w:hAnsi="仿宋" w:eastAsia="仿宋" w:cs="仿宋"/>
          <w:sz w:val="24"/>
          <w:szCs w:val="24"/>
        </w:rPr>
        <w:t>的基础上，</w:t>
      </w:r>
      <w:r>
        <w:rPr>
          <w:rFonts w:hint="eastAsia" w:ascii="仿宋" w:hAnsi="仿宋" w:eastAsia="仿宋" w:cs="仿宋"/>
          <w:sz w:val="24"/>
          <w:szCs w:val="24"/>
        </w:rPr>
        <w:t>提炼了学生需要掌握的基本、综合和拓展三方面9项知识能力要素</w:t>
      </w:r>
      <w:r>
        <w:rPr>
          <w:rFonts w:ascii="仿宋" w:hAnsi="仿宋" w:eastAsia="仿宋" w:cs="仿宋"/>
          <w:sz w:val="24"/>
          <w:szCs w:val="24"/>
        </w:rPr>
        <w:t>，</w:t>
      </w:r>
      <w:r>
        <w:rPr>
          <w:rFonts w:hint="eastAsia" w:ascii="仿宋" w:hAnsi="仿宋" w:eastAsia="仿宋" w:cs="仿宋"/>
          <w:sz w:val="24"/>
          <w:szCs w:val="24"/>
        </w:rPr>
        <w:t>根据知识能力要素</w:t>
      </w:r>
      <w:r>
        <w:rPr>
          <w:rFonts w:ascii="仿宋" w:hAnsi="仿宋" w:eastAsia="仿宋" w:cs="仿宋"/>
          <w:sz w:val="24"/>
          <w:szCs w:val="24"/>
        </w:rPr>
        <w:t>建立</w:t>
      </w:r>
      <w:r>
        <w:rPr>
          <w:rFonts w:hint="eastAsia" w:ascii="仿宋" w:hAnsi="仿宋" w:eastAsia="仿宋" w:cs="仿宋"/>
          <w:sz w:val="24"/>
          <w:szCs w:val="24"/>
        </w:rPr>
        <w:t>建筑工程技术</w:t>
      </w:r>
      <w:r>
        <w:rPr>
          <w:rFonts w:ascii="仿宋" w:hAnsi="仿宋" w:eastAsia="仿宋" w:cs="仿宋"/>
          <w:sz w:val="24"/>
          <w:szCs w:val="24"/>
        </w:rPr>
        <w:t>专业群课程，重构完善课程体系，实现课赛对接</w:t>
      </w:r>
      <w:r>
        <w:rPr>
          <w:rFonts w:hint="eastAsia" w:ascii="仿宋" w:hAnsi="仿宋" w:eastAsia="仿宋" w:cs="仿宋"/>
          <w:sz w:val="24"/>
          <w:szCs w:val="24"/>
        </w:rPr>
        <w:t>。</w:t>
      </w:r>
    </w:p>
    <w:p>
      <w:pPr>
        <w:spacing w:line="480" w:lineRule="exact"/>
        <w:ind w:firstLine="482" w:firstLineChars="200"/>
        <w:rPr>
          <w:rFonts w:ascii="黑体" w:hAnsi="黑体" w:eastAsia="黑体" w:cs="华文仿宋"/>
          <w:b/>
          <w:sz w:val="24"/>
          <w:szCs w:val="24"/>
        </w:rPr>
      </w:pPr>
      <w:r>
        <w:rPr>
          <w:rFonts w:hint="eastAsia" w:ascii="黑体" w:hAnsi="黑体" w:eastAsia="黑体" w:cs="华文仿宋"/>
          <w:b/>
          <w:sz w:val="24"/>
          <w:szCs w:val="24"/>
        </w:rPr>
        <w:t>（二）课程体系建构</w:t>
      </w:r>
    </w:p>
    <w:p>
      <w:pPr>
        <w:spacing w:line="480" w:lineRule="exact"/>
        <w:ind w:firstLine="480" w:firstLineChars="200"/>
        <w:rPr>
          <w:rFonts w:ascii="仿宋" w:hAnsi="仿宋" w:eastAsia="仿宋" w:cs="仿宋"/>
          <w:sz w:val="24"/>
          <w:szCs w:val="28"/>
        </w:rPr>
      </w:pPr>
      <w:r>
        <w:rPr>
          <w:rFonts w:hint="eastAsia" w:ascii="仿宋" w:hAnsi="仿宋" w:eastAsia="仿宋" w:cs="仿宋"/>
          <w:sz w:val="24"/>
          <w:szCs w:val="28"/>
        </w:rPr>
        <w:t>课程包括公共基础课程和专业课程。</w:t>
      </w:r>
    </w:p>
    <w:p>
      <w:pPr>
        <w:spacing w:line="480" w:lineRule="exact"/>
        <w:ind w:firstLine="482" w:firstLineChars="200"/>
        <w:rPr>
          <w:rFonts w:ascii="仿宋" w:hAnsi="仿宋" w:eastAsia="黑体" w:cs="华文仿宋"/>
          <w:sz w:val="24"/>
          <w:szCs w:val="24"/>
        </w:rPr>
      </w:pPr>
      <w:r>
        <w:rPr>
          <w:rFonts w:ascii="黑体" w:hAnsi="黑体" w:eastAsia="黑体"/>
          <w:b/>
          <w:sz w:val="24"/>
          <w:szCs w:val="24"/>
        </w:rPr>
        <w:t>1</w:t>
      </w:r>
      <w:r>
        <w:rPr>
          <w:rFonts w:hint="eastAsia" w:ascii="仿宋" w:hAnsi="仿宋" w:eastAsia="仿宋"/>
          <w:b/>
          <w:color w:val="000000"/>
          <w:sz w:val="24"/>
          <w:szCs w:val="24"/>
        </w:rPr>
        <w:t>.</w:t>
      </w:r>
      <w:r>
        <w:rPr>
          <w:rFonts w:hint="eastAsia" w:ascii="黑体" w:hAnsi="黑体" w:eastAsia="黑体"/>
          <w:b/>
          <w:sz w:val="24"/>
          <w:szCs w:val="24"/>
        </w:rPr>
        <w:t>公共基础课程</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根据党和国家有关文件规定，开设思想政治理论、心理健康教育、军事、体育、劳动教育为公共基础必修课；并将职业发展与就业指导、创新创业教育、通识课等列入公共基础选修课。</w:t>
      </w:r>
    </w:p>
    <w:p>
      <w:pPr>
        <w:spacing w:line="480" w:lineRule="exact"/>
        <w:jc w:val="center"/>
        <w:rPr>
          <w:rFonts w:ascii="仿宋" w:hAnsi="仿宋" w:eastAsia="仿宋"/>
          <w:b/>
          <w:sz w:val="24"/>
          <w:szCs w:val="24"/>
        </w:rPr>
      </w:pPr>
      <w:r>
        <w:rPr>
          <w:rFonts w:hint="eastAsia" w:ascii="仿宋" w:hAnsi="仿宋" w:eastAsia="仿宋"/>
          <w:b/>
          <w:sz w:val="24"/>
          <w:szCs w:val="24"/>
        </w:rPr>
        <w:t>表2 公共基础必修课</w:t>
      </w:r>
    </w:p>
    <w:tbl>
      <w:tblPr>
        <w:tblStyle w:val="10"/>
        <w:tblW w:w="8408" w:type="dxa"/>
        <w:jc w:val="center"/>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top w:w="0" w:type="dxa"/>
          <w:left w:w="51" w:type="dxa"/>
          <w:bottom w:w="0" w:type="dxa"/>
          <w:right w:w="51" w:type="dxa"/>
        </w:tblCellMar>
      </w:tblPr>
      <w:tblGrid>
        <w:gridCol w:w="652"/>
        <w:gridCol w:w="1510"/>
        <w:gridCol w:w="6246"/>
      </w:tblGrid>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51" w:type="dxa"/>
            <w:bottom w:w="0" w:type="dxa"/>
            <w:right w:w="51" w:type="dxa"/>
          </w:tblCellMar>
        </w:tblPrEx>
        <w:trPr>
          <w:jc w:val="center"/>
        </w:trPr>
        <w:tc>
          <w:tcPr>
            <w:tcW w:w="652" w:type="dxa"/>
            <w:shd w:val="clear" w:color="auto" w:fill="auto"/>
            <w:vAlign w:val="center"/>
          </w:tcPr>
          <w:p>
            <w:pPr>
              <w:adjustRightInd w:val="0"/>
              <w:snapToGrid w:val="0"/>
              <w:spacing w:line="400" w:lineRule="exact"/>
              <w:jc w:val="center"/>
              <w:rPr>
                <w:rFonts w:ascii="仿宋" w:hAnsi="仿宋" w:eastAsia="仿宋"/>
                <w:b/>
                <w:sz w:val="20"/>
                <w:szCs w:val="20"/>
              </w:rPr>
            </w:pPr>
            <w:r>
              <w:rPr>
                <w:rFonts w:hint="eastAsia" w:ascii="仿宋" w:hAnsi="仿宋" w:eastAsia="仿宋"/>
                <w:b/>
                <w:sz w:val="20"/>
                <w:szCs w:val="20"/>
              </w:rPr>
              <w:t>序号</w:t>
            </w:r>
          </w:p>
        </w:tc>
        <w:tc>
          <w:tcPr>
            <w:tcW w:w="1510" w:type="dxa"/>
            <w:shd w:val="clear" w:color="auto" w:fill="auto"/>
            <w:vAlign w:val="center"/>
          </w:tcPr>
          <w:p>
            <w:pPr>
              <w:adjustRightInd w:val="0"/>
              <w:snapToGrid w:val="0"/>
              <w:spacing w:line="400" w:lineRule="exact"/>
              <w:jc w:val="center"/>
              <w:rPr>
                <w:rFonts w:ascii="仿宋" w:hAnsi="仿宋" w:eastAsia="仿宋"/>
                <w:b/>
                <w:sz w:val="20"/>
                <w:szCs w:val="20"/>
              </w:rPr>
            </w:pPr>
            <w:r>
              <w:rPr>
                <w:rFonts w:hint="eastAsia" w:ascii="仿宋" w:hAnsi="仿宋" w:eastAsia="仿宋"/>
                <w:b/>
                <w:sz w:val="20"/>
                <w:szCs w:val="20"/>
              </w:rPr>
              <w:t>课程名称</w:t>
            </w:r>
          </w:p>
        </w:tc>
        <w:tc>
          <w:tcPr>
            <w:tcW w:w="6246" w:type="dxa"/>
            <w:shd w:val="clear" w:color="auto" w:fill="auto"/>
            <w:vAlign w:val="center"/>
          </w:tcPr>
          <w:p>
            <w:pPr>
              <w:adjustRightInd w:val="0"/>
              <w:snapToGrid w:val="0"/>
              <w:spacing w:line="400" w:lineRule="exact"/>
              <w:jc w:val="center"/>
              <w:rPr>
                <w:rFonts w:ascii="仿宋" w:hAnsi="仿宋" w:eastAsia="仿宋"/>
                <w:b/>
                <w:sz w:val="20"/>
                <w:szCs w:val="20"/>
              </w:rPr>
            </w:pPr>
            <w:r>
              <w:rPr>
                <w:rFonts w:hint="eastAsia" w:ascii="仿宋" w:hAnsi="仿宋" w:eastAsia="仿宋"/>
                <w:b/>
                <w:sz w:val="20"/>
                <w:szCs w:val="20"/>
              </w:rPr>
              <w:t>课程目标、主要内容</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51" w:type="dxa"/>
            <w:bottom w:w="0" w:type="dxa"/>
            <w:right w:w="51" w:type="dxa"/>
          </w:tblCellMar>
        </w:tblPrEx>
        <w:trPr>
          <w:jc w:val="center"/>
        </w:trPr>
        <w:tc>
          <w:tcPr>
            <w:tcW w:w="652" w:type="dxa"/>
            <w:vAlign w:val="center"/>
          </w:tcPr>
          <w:p>
            <w:pPr>
              <w:spacing w:line="400" w:lineRule="exact"/>
              <w:jc w:val="center"/>
              <w:rPr>
                <w:rFonts w:ascii="仿宋" w:hAnsi="仿宋" w:eastAsia="仿宋"/>
                <w:b/>
                <w:sz w:val="20"/>
                <w:szCs w:val="20"/>
              </w:rPr>
            </w:pPr>
            <w:r>
              <w:rPr>
                <w:rFonts w:hint="eastAsia" w:ascii="仿宋" w:hAnsi="仿宋" w:eastAsia="仿宋"/>
                <w:b/>
                <w:sz w:val="20"/>
                <w:szCs w:val="20"/>
              </w:rPr>
              <w:t>1</w:t>
            </w:r>
          </w:p>
        </w:tc>
        <w:tc>
          <w:tcPr>
            <w:tcW w:w="1510" w:type="dxa"/>
            <w:vAlign w:val="center"/>
          </w:tcPr>
          <w:p>
            <w:pPr>
              <w:spacing w:line="400" w:lineRule="exact"/>
              <w:rPr>
                <w:rFonts w:ascii="仿宋" w:hAnsi="仿宋" w:eastAsia="仿宋"/>
                <w:b/>
                <w:sz w:val="20"/>
                <w:szCs w:val="20"/>
              </w:rPr>
            </w:pPr>
            <w:r>
              <w:rPr>
                <w:rFonts w:hint="eastAsia" w:ascii="仿宋" w:hAnsi="仿宋" w:eastAsia="仿宋"/>
                <w:b/>
                <w:sz w:val="20"/>
                <w:szCs w:val="20"/>
              </w:rPr>
              <w:t>思想道德与法治</w:t>
            </w:r>
          </w:p>
        </w:tc>
        <w:tc>
          <w:tcPr>
            <w:tcW w:w="6246" w:type="dxa"/>
            <w:vAlign w:val="center"/>
          </w:tcPr>
          <w:p>
            <w:pPr>
              <w:ind w:firstLine="394" w:firstLineChars="196"/>
              <w:rPr>
                <w:rFonts w:ascii="仿宋" w:hAnsi="仿宋" w:eastAsia="仿宋"/>
                <w:b/>
                <w:sz w:val="20"/>
                <w:szCs w:val="20"/>
              </w:rPr>
            </w:pPr>
            <w:r>
              <w:rPr>
                <w:rFonts w:hint="eastAsia" w:ascii="仿宋" w:hAnsi="仿宋" w:eastAsia="仿宋"/>
                <w:b/>
                <w:sz w:val="20"/>
                <w:szCs w:val="20"/>
              </w:rPr>
              <w:t>课程目标：针对大学生成长过程中面临的思想道德与法治问题，开展马克思主义的人生观、价值观、道德观、法治观教育，帮助大学生提升思想道德素质和法治素养，成长为自觉担当民族复兴大任的时代新人。</w:t>
            </w:r>
          </w:p>
          <w:p>
            <w:pPr>
              <w:ind w:firstLine="394" w:firstLineChars="196"/>
              <w:rPr>
                <w:rFonts w:ascii="仿宋" w:hAnsi="仿宋" w:eastAsia="仿宋"/>
                <w:b/>
                <w:sz w:val="20"/>
                <w:szCs w:val="20"/>
              </w:rPr>
            </w:pPr>
            <w:r>
              <w:rPr>
                <w:rFonts w:hint="eastAsia" w:ascii="仿宋" w:hAnsi="仿宋" w:eastAsia="仿宋"/>
                <w:b/>
                <w:sz w:val="20"/>
                <w:szCs w:val="20"/>
              </w:rPr>
              <w:t>主要内容：主要讲授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51" w:type="dxa"/>
            <w:bottom w:w="0" w:type="dxa"/>
            <w:right w:w="51" w:type="dxa"/>
          </w:tblCellMar>
        </w:tblPrEx>
        <w:trPr>
          <w:jc w:val="center"/>
        </w:trPr>
        <w:tc>
          <w:tcPr>
            <w:tcW w:w="652" w:type="dxa"/>
            <w:vAlign w:val="center"/>
          </w:tcPr>
          <w:p>
            <w:pPr>
              <w:spacing w:line="400" w:lineRule="exact"/>
              <w:jc w:val="center"/>
              <w:rPr>
                <w:rFonts w:ascii="仿宋" w:hAnsi="仿宋" w:eastAsia="仿宋"/>
                <w:b/>
                <w:sz w:val="20"/>
                <w:szCs w:val="20"/>
              </w:rPr>
            </w:pPr>
            <w:r>
              <w:rPr>
                <w:rFonts w:hint="eastAsia" w:ascii="仿宋" w:hAnsi="仿宋" w:eastAsia="仿宋"/>
                <w:b/>
                <w:sz w:val="20"/>
                <w:szCs w:val="20"/>
              </w:rPr>
              <w:t>2</w:t>
            </w:r>
          </w:p>
        </w:tc>
        <w:tc>
          <w:tcPr>
            <w:tcW w:w="1510" w:type="dxa"/>
            <w:vAlign w:val="center"/>
          </w:tcPr>
          <w:p>
            <w:pPr>
              <w:spacing w:line="400" w:lineRule="exact"/>
              <w:jc w:val="center"/>
              <w:rPr>
                <w:rFonts w:ascii="仿宋" w:hAnsi="仿宋" w:eastAsia="仿宋"/>
                <w:b/>
                <w:sz w:val="20"/>
                <w:szCs w:val="20"/>
              </w:rPr>
            </w:pPr>
            <w:r>
              <w:rPr>
                <w:rFonts w:hint="eastAsia" w:ascii="仿宋" w:hAnsi="仿宋" w:eastAsia="仿宋"/>
                <w:b/>
                <w:sz w:val="20"/>
                <w:szCs w:val="20"/>
              </w:rPr>
              <w:t>毛泽东思想和中国特色社会主义理论体系概论</w:t>
            </w:r>
          </w:p>
        </w:tc>
        <w:tc>
          <w:tcPr>
            <w:tcW w:w="6246" w:type="dxa"/>
            <w:vAlign w:val="center"/>
          </w:tcPr>
          <w:p>
            <w:pPr>
              <w:ind w:firstLine="394" w:firstLineChars="196"/>
              <w:rPr>
                <w:rFonts w:ascii="仿宋" w:hAnsi="仿宋" w:eastAsia="仿宋"/>
                <w:sz w:val="20"/>
                <w:szCs w:val="20"/>
              </w:rPr>
            </w:pPr>
            <w:r>
              <w:rPr>
                <w:rFonts w:hint="eastAsia" w:ascii="仿宋" w:hAnsi="仿宋" w:eastAsia="仿宋"/>
                <w:b/>
                <w:sz w:val="20"/>
                <w:szCs w:val="20"/>
              </w:rPr>
              <w:t>课程目标：</w:t>
            </w:r>
            <w:r>
              <w:rPr>
                <w:rFonts w:hint="eastAsia" w:ascii="仿宋" w:hAnsi="仿宋" w:eastAsia="仿宋"/>
                <w:sz w:val="20"/>
                <w:szCs w:val="20"/>
              </w:rPr>
              <w:t>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pPr>
              <w:ind w:firstLine="394" w:firstLineChars="196"/>
              <w:rPr>
                <w:rFonts w:ascii="仿宋" w:hAnsi="仿宋" w:eastAsia="仿宋"/>
                <w:sz w:val="20"/>
                <w:szCs w:val="20"/>
              </w:rPr>
            </w:pPr>
            <w:r>
              <w:rPr>
                <w:rFonts w:hint="eastAsia" w:ascii="仿宋" w:hAnsi="仿宋" w:eastAsia="仿宋"/>
                <w:b/>
                <w:sz w:val="20"/>
                <w:szCs w:val="20"/>
              </w:rPr>
              <w:t>主要内容：</w:t>
            </w:r>
            <w:r>
              <w:rPr>
                <w:rFonts w:hint="eastAsia" w:ascii="仿宋" w:hAnsi="仿宋" w:eastAsia="仿宋"/>
                <w:sz w:val="20"/>
                <w:szCs w:val="20"/>
              </w:rPr>
              <w:t>本课程以马克思主义中国化为主线，集中阐述马克思主义中国化理论成果的形成过程、主要内容、精神实质、历史地位和指导意义，充分反映中国共产党不断推进马克思主义基本原理同中国具体实际相结合、同中华优秀传统文化相结合的历史进程和基本经验；以马克思主义中国化最新成果为重点，全面把握中国特色社会主义进入新时代，系统阐释习近平新时代中国特色社会主义思想的主要内容和历史地位，充分反映实现全面建设社会主义现代化强国、中华民族伟大复兴中国梦的战略部署。</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51" w:type="dxa"/>
            <w:bottom w:w="0" w:type="dxa"/>
            <w:right w:w="51" w:type="dxa"/>
          </w:tblCellMar>
        </w:tblPrEx>
        <w:trPr>
          <w:jc w:val="center"/>
        </w:trPr>
        <w:tc>
          <w:tcPr>
            <w:tcW w:w="652" w:type="dxa"/>
            <w:vAlign w:val="center"/>
          </w:tcPr>
          <w:p>
            <w:pPr>
              <w:spacing w:line="400" w:lineRule="exact"/>
              <w:jc w:val="center"/>
              <w:rPr>
                <w:rFonts w:ascii="仿宋" w:hAnsi="仿宋" w:eastAsia="仿宋"/>
                <w:b/>
                <w:sz w:val="20"/>
                <w:szCs w:val="20"/>
              </w:rPr>
            </w:pPr>
            <w:r>
              <w:rPr>
                <w:rFonts w:hint="eastAsia" w:ascii="仿宋" w:hAnsi="仿宋" w:eastAsia="仿宋"/>
                <w:b/>
                <w:sz w:val="20"/>
                <w:szCs w:val="20"/>
              </w:rPr>
              <w:t>3</w:t>
            </w:r>
          </w:p>
        </w:tc>
        <w:tc>
          <w:tcPr>
            <w:tcW w:w="1510" w:type="dxa"/>
            <w:vAlign w:val="center"/>
          </w:tcPr>
          <w:p>
            <w:pPr>
              <w:spacing w:line="400" w:lineRule="exact"/>
              <w:jc w:val="center"/>
              <w:rPr>
                <w:rFonts w:ascii="仿宋" w:hAnsi="仿宋" w:eastAsia="仿宋"/>
                <w:b/>
                <w:sz w:val="20"/>
                <w:szCs w:val="20"/>
              </w:rPr>
            </w:pPr>
            <w:r>
              <w:rPr>
                <w:rFonts w:hint="eastAsia" w:ascii="仿宋" w:hAnsi="仿宋" w:eastAsia="仿宋"/>
                <w:b/>
                <w:sz w:val="20"/>
                <w:szCs w:val="20"/>
              </w:rPr>
              <w:t>形势与政策</w:t>
            </w:r>
          </w:p>
        </w:tc>
        <w:tc>
          <w:tcPr>
            <w:tcW w:w="6246" w:type="dxa"/>
            <w:vAlign w:val="center"/>
          </w:tcPr>
          <w:p>
            <w:pPr>
              <w:ind w:firstLine="394" w:firstLineChars="196"/>
              <w:rPr>
                <w:rFonts w:ascii="仿宋" w:hAnsi="仿宋" w:eastAsia="仿宋"/>
                <w:sz w:val="20"/>
                <w:szCs w:val="20"/>
              </w:rPr>
            </w:pPr>
            <w:r>
              <w:rPr>
                <w:rFonts w:hint="eastAsia" w:ascii="仿宋" w:hAnsi="仿宋" w:eastAsia="仿宋"/>
                <w:b/>
                <w:sz w:val="20"/>
                <w:szCs w:val="20"/>
              </w:rPr>
              <w:t>课程目标：</w:t>
            </w:r>
            <w:r>
              <w:rPr>
                <w:rFonts w:hint="eastAsia" w:ascii="仿宋" w:hAnsi="仿宋" w:eastAsia="仿宋"/>
                <w:sz w:val="20"/>
                <w:szCs w:val="20"/>
              </w:rPr>
              <w:t>落实立德树人根本任务，为党和国家培养社会主义建设者和接班人的目标，帮助学生正确认识国际国内形势，理解党和政府的方针政策，做到对形势的分析判断和党中央保持高度一致；引导和帮助学生对国内外重大事件、社会热点和难点等问题进行思考，提高分析和判断能力，使之能科学预测和准确把握形势与政策发展的客观规律，形成正确的政治观和世界观。</w:t>
            </w:r>
          </w:p>
          <w:p>
            <w:pPr>
              <w:widowControl/>
              <w:ind w:firstLine="394" w:firstLineChars="196"/>
              <w:rPr>
                <w:rFonts w:ascii="仿宋" w:hAnsi="仿宋" w:eastAsia="仿宋"/>
                <w:sz w:val="20"/>
                <w:szCs w:val="20"/>
              </w:rPr>
            </w:pPr>
            <w:r>
              <w:rPr>
                <w:rFonts w:hint="eastAsia" w:ascii="仿宋" w:hAnsi="仿宋" w:eastAsia="仿宋"/>
                <w:b/>
                <w:sz w:val="20"/>
                <w:szCs w:val="20"/>
              </w:rPr>
              <w:t>主要内容：</w:t>
            </w:r>
            <w:r>
              <w:rPr>
                <w:rFonts w:hint="eastAsia" w:ascii="仿宋" w:hAnsi="仿宋" w:eastAsia="仿宋"/>
                <w:sz w:val="20"/>
                <w:szCs w:val="20"/>
              </w:rPr>
              <w:t>根据教育部社政司下发的《高校“形势与政策”教育教学要点》，围绕党的理论方针、政策以及结合社会实际情况和学生关注的热点、焦点问题来确定。</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51" w:type="dxa"/>
            <w:bottom w:w="0" w:type="dxa"/>
            <w:right w:w="51" w:type="dxa"/>
          </w:tblCellMar>
        </w:tblPrEx>
        <w:trPr>
          <w:jc w:val="center"/>
        </w:trPr>
        <w:tc>
          <w:tcPr>
            <w:tcW w:w="652" w:type="dxa"/>
            <w:vAlign w:val="center"/>
          </w:tcPr>
          <w:p>
            <w:pPr>
              <w:spacing w:line="400" w:lineRule="exact"/>
              <w:jc w:val="center"/>
              <w:rPr>
                <w:rFonts w:ascii="仿宋" w:hAnsi="仿宋" w:eastAsia="仿宋"/>
                <w:b/>
                <w:sz w:val="20"/>
                <w:szCs w:val="20"/>
              </w:rPr>
            </w:pPr>
            <w:r>
              <w:rPr>
                <w:rFonts w:hint="eastAsia" w:ascii="仿宋" w:hAnsi="仿宋" w:eastAsia="仿宋"/>
                <w:b/>
                <w:sz w:val="20"/>
                <w:szCs w:val="20"/>
              </w:rPr>
              <w:t>4</w:t>
            </w:r>
          </w:p>
        </w:tc>
        <w:tc>
          <w:tcPr>
            <w:tcW w:w="1510" w:type="dxa"/>
            <w:vAlign w:val="center"/>
          </w:tcPr>
          <w:p>
            <w:pPr>
              <w:spacing w:line="400" w:lineRule="exact"/>
              <w:jc w:val="center"/>
              <w:rPr>
                <w:rFonts w:ascii="仿宋" w:hAnsi="仿宋" w:eastAsia="仿宋"/>
                <w:b/>
                <w:sz w:val="20"/>
                <w:szCs w:val="20"/>
              </w:rPr>
            </w:pPr>
            <w:r>
              <w:rPr>
                <w:rFonts w:hint="eastAsia" w:ascii="仿宋" w:hAnsi="仿宋" w:eastAsia="仿宋"/>
                <w:b/>
                <w:sz w:val="20"/>
                <w:szCs w:val="20"/>
              </w:rPr>
              <w:t>大学生心理健康教育</w:t>
            </w:r>
          </w:p>
        </w:tc>
        <w:tc>
          <w:tcPr>
            <w:tcW w:w="6246" w:type="dxa"/>
            <w:vAlign w:val="center"/>
          </w:tcPr>
          <w:p>
            <w:pPr>
              <w:ind w:firstLine="394" w:firstLineChars="196"/>
              <w:rPr>
                <w:rFonts w:ascii="仿宋" w:hAnsi="仿宋" w:eastAsia="仿宋"/>
                <w:sz w:val="20"/>
                <w:szCs w:val="20"/>
              </w:rPr>
            </w:pPr>
            <w:r>
              <w:rPr>
                <w:rFonts w:hint="eastAsia" w:ascii="仿宋" w:hAnsi="仿宋" w:eastAsia="仿宋"/>
                <w:b/>
                <w:sz w:val="20"/>
                <w:szCs w:val="20"/>
              </w:rPr>
              <w:t>课程目标：</w:t>
            </w:r>
            <w:r>
              <w:rPr>
                <w:rFonts w:hint="eastAsia" w:ascii="仿宋" w:hAnsi="仿宋" w:eastAsia="仿宋"/>
                <w:sz w:val="20"/>
                <w:szCs w:val="20"/>
              </w:rPr>
              <w:t>使学生明确心理健康的标准及意义，增强自我心理保健意识和心理危机预防意识，掌握并应用心理健康知识，培养自我认知能力、人际沟通能力、自我调节能力，以切实提高心理素质，实现角色转换，明确适应自身特点的发展方向，满足社会对高素质劳动者和技能型人才的要求。</w:t>
            </w:r>
          </w:p>
          <w:p>
            <w:pPr>
              <w:ind w:firstLine="394" w:firstLineChars="196"/>
              <w:rPr>
                <w:rFonts w:ascii="仿宋" w:hAnsi="仿宋" w:eastAsia="仿宋"/>
                <w:sz w:val="20"/>
                <w:szCs w:val="20"/>
              </w:rPr>
            </w:pPr>
            <w:r>
              <w:rPr>
                <w:rFonts w:hint="eastAsia" w:ascii="仿宋" w:hAnsi="仿宋" w:eastAsia="仿宋"/>
                <w:b/>
                <w:sz w:val="20"/>
                <w:szCs w:val="20"/>
              </w:rPr>
              <w:t>主要内容：</w:t>
            </w:r>
            <w:r>
              <w:rPr>
                <w:rFonts w:hint="eastAsia" w:ascii="仿宋" w:hAnsi="仿宋" w:eastAsia="仿宋"/>
                <w:sz w:val="20"/>
                <w:szCs w:val="20"/>
              </w:rPr>
              <w:t>自我意识、情绪情感、人际关系、恋爱与性心理、人格心理、生涯规划以及生命教育等。</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51" w:type="dxa"/>
            <w:bottom w:w="0" w:type="dxa"/>
            <w:right w:w="51" w:type="dxa"/>
          </w:tblCellMar>
        </w:tblPrEx>
        <w:trPr>
          <w:jc w:val="center"/>
        </w:trPr>
        <w:tc>
          <w:tcPr>
            <w:tcW w:w="652" w:type="dxa"/>
            <w:vAlign w:val="center"/>
          </w:tcPr>
          <w:p>
            <w:pPr>
              <w:spacing w:line="400" w:lineRule="exact"/>
              <w:jc w:val="center"/>
              <w:rPr>
                <w:rFonts w:ascii="仿宋" w:hAnsi="仿宋" w:eastAsia="仿宋"/>
                <w:b/>
                <w:sz w:val="20"/>
                <w:szCs w:val="20"/>
              </w:rPr>
            </w:pPr>
            <w:r>
              <w:rPr>
                <w:rFonts w:hint="eastAsia" w:ascii="仿宋" w:hAnsi="仿宋" w:eastAsia="仿宋"/>
                <w:b/>
                <w:sz w:val="20"/>
                <w:szCs w:val="20"/>
              </w:rPr>
              <w:t>5</w:t>
            </w:r>
          </w:p>
        </w:tc>
        <w:tc>
          <w:tcPr>
            <w:tcW w:w="1510" w:type="dxa"/>
            <w:vAlign w:val="center"/>
          </w:tcPr>
          <w:p>
            <w:pPr>
              <w:spacing w:line="400" w:lineRule="exact"/>
              <w:jc w:val="center"/>
              <w:rPr>
                <w:rFonts w:ascii="仿宋" w:hAnsi="仿宋" w:eastAsia="仿宋"/>
                <w:b/>
                <w:sz w:val="20"/>
                <w:szCs w:val="20"/>
              </w:rPr>
            </w:pPr>
            <w:r>
              <w:rPr>
                <w:rFonts w:hint="eastAsia" w:ascii="仿宋" w:hAnsi="仿宋" w:eastAsia="仿宋"/>
                <w:b/>
                <w:sz w:val="20"/>
                <w:szCs w:val="20"/>
              </w:rPr>
              <w:t>军事</w:t>
            </w:r>
          </w:p>
        </w:tc>
        <w:tc>
          <w:tcPr>
            <w:tcW w:w="6246" w:type="dxa"/>
            <w:vAlign w:val="center"/>
          </w:tcPr>
          <w:p>
            <w:pPr>
              <w:ind w:firstLine="394" w:firstLineChars="196"/>
              <w:rPr>
                <w:rFonts w:ascii="仿宋" w:hAnsi="仿宋" w:eastAsia="仿宋"/>
                <w:sz w:val="20"/>
                <w:szCs w:val="20"/>
              </w:rPr>
            </w:pPr>
            <w:r>
              <w:rPr>
                <w:rFonts w:hint="eastAsia" w:ascii="仿宋" w:hAnsi="仿宋" w:eastAsia="仿宋"/>
                <w:b/>
                <w:sz w:val="20"/>
                <w:szCs w:val="20"/>
              </w:rPr>
              <w:t>课程目标：</w:t>
            </w:r>
            <w:r>
              <w:rPr>
                <w:rFonts w:hint="eastAsia" w:ascii="仿宋" w:hAnsi="仿宋" w:eastAsia="仿宋"/>
                <w:sz w:val="20"/>
                <w:szCs w:val="20"/>
              </w:rPr>
              <w:t>掌握军事基础知识和基本军事技能，增强国防观念、国家安全意识和忧患危机意识，弘扬爱国主义精神、传承红色基因、提高学生综合国防素质。</w:t>
            </w:r>
          </w:p>
          <w:p>
            <w:pPr>
              <w:ind w:firstLine="394" w:firstLineChars="196"/>
              <w:rPr>
                <w:rFonts w:ascii="仿宋" w:hAnsi="仿宋" w:eastAsia="仿宋"/>
                <w:sz w:val="20"/>
                <w:szCs w:val="20"/>
              </w:rPr>
            </w:pPr>
            <w:r>
              <w:rPr>
                <w:rFonts w:hint="eastAsia" w:ascii="仿宋" w:hAnsi="仿宋" w:eastAsia="仿宋"/>
                <w:b/>
                <w:sz w:val="20"/>
                <w:szCs w:val="20"/>
              </w:rPr>
              <w:t>主要内容：</w:t>
            </w:r>
            <w:r>
              <w:rPr>
                <w:rFonts w:hint="eastAsia" w:ascii="仿宋" w:hAnsi="仿宋" w:eastAsia="仿宋"/>
                <w:sz w:val="20"/>
                <w:szCs w:val="20"/>
              </w:rPr>
              <w:t>根据教育部、中央军委国防动员部制订的《普通高等学校军事课教学大纲》要求进行教学，主要内容包括军事技能、国家安全、军事思想、信息化战争、信息化装备等。</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51" w:type="dxa"/>
            <w:bottom w:w="0" w:type="dxa"/>
            <w:right w:w="51" w:type="dxa"/>
          </w:tblCellMar>
        </w:tblPrEx>
        <w:trPr>
          <w:jc w:val="center"/>
        </w:trPr>
        <w:tc>
          <w:tcPr>
            <w:tcW w:w="652" w:type="dxa"/>
            <w:vAlign w:val="center"/>
          </w:tcPr>
          <w:p>
            <w:pPr>
              <w:spacing w:line="400" w:lineRule="exact"/>
              <w:jc w:val="center"/>
              <w:rPr>
                <w:rFonts w:ascii="仿宋" w:hAnsi="仿宋" w:eastAsia="仿宋"/>
                <w:b/>
                <w:sz w:val="20"/>
                <w:szCs w:val="20"/>
              </w:rPr>
            </w:pPr>
            <w:r>
              <w:rPr>
                <w:rFonts w:hint="eastAsia" w:ascii="仿宋" w:hAnsi="仿宋" w:eastAsia="仿宋"/>
                <w:b/>
                <w:sz w:val="20"/>
                <w:szCs w:val="20"/>
              </w:rPr>
              <w:t>6</w:t>
            </w:r>
          </w:p>
        </w:tc>
        <w:tc>
          <w:tcPr>
            <w:tcW w:w="1510" w:type="dxa"/>
            <w:vAlign w:val="center"/>
          </w:tcPr>
          <w:p>
            <w:pPr>
              <w:spacing w:line="400" w:lineRule="exact"/>
              <w:ind w:firstLine="394" w:firstLineChars="196"/>
              <w:rPr>
                <w:rFonts w:ascii="仿宋" w:hAnsi="仿宋" w:eastAsia="仿宋"/>
                <w:b/>
                <w:sz w:val="20"/>
                <w:szCs w:val="20"/>
              </w:rPr>
            </w:pPr>
            <w:r>
              <w:rPr>
                <w:rFonts w:hint="eastAsia" w:ascii="仿宋" w:hAnsi="仿宋" w:eastAsia="仿宋"/>
                <w:b/>
                <w:sz w:val="20"/>
                <w:szCs w:val="20"/>
              </w:rPr>
              <w:t>体育</w:t>
            </w:r>
          </w:p>
        </w:tc>
        <w:tc>
          <w:tcPr>
            <w:tcW w:w="6246" w:type="dxa"/>
            <w:vAlign w:val="center"/>
          </w:tcPr>
          <w:p>
            <w:pPr>
              <w:ind w:firstLine="394" w:firstLineChars="196"/>
              <w:rPr>
                <w:rFonts w:ascii="仿宋" w:hAnsi="仿宋" w:eastAsia="仿宋"/>
                <w:sz w:val="20"/>
                <w:szCs w:val="20"/>
              </w:rPr>
            </w:pPr>
            <w:r>
              <w:rPr>
                <w:rFonts w:hint="eastAsia" w:ascii="仿宋" w:hAnsi="仿宋" w:eastAsia="仿宋"/>
                <w:b/>
                <w:sz w:val="20"/>
                <w:szCs w:val="20"/>
              </w:rPr>
              <w:t>课程目标：</w:t>
            </w:r>
            <w:r>
              <w:rPr>
                <w:rFonts w:hint="eastAsia" w:ascii="仿宋" w:hAnsi="仿宋" w:eastAsia="仿宋"/>
                <w:sz w:val="20"/>
                <w:szCs w:val="20"/>
              </w:rPr>
              <w:t>提高学生体能和运动技能水平；增强体育创新能力；增强人际交往技能和团队意识；形成运动习惯、爱好和专长，培养终身体育的意识和习惯。</w:t>
            </w:r>
          </w:p>
          <w:p>
            <w:pPr>
              <w:ind w:firstLine="394" w:firstLineChars="196"/>
              <w:rPr>
                <w:rFonts w:ascii="仿宋" w:hAnsi="仿宋" w:eastAsia="仿宋"/>
                <w:sz w:val="20"/>
                <w:szCs w:val="20"/>
              </w:rPr>
            </w:pPr>
            <w:r>
              <w:rPr>
                <w:rFonts w:hint="eastAsia" w:ascii="仿宋" w:hAnsi="仿宋" w:eastAsia="仿宋"/>
                <w:b/>
                <w:sz w:val="20"/>
                <w:szCs w:val="20"/>
              </w:rPr>
              <w:t>主要内容：</w:t>
            </w:r>
            <w:r>
              <w:rPr>
                <w:rFonts w:hint="eastAsia" w:ascii="仿宋" w:hAnsi="仿宋" w:eastAsia="仿宋"/>
                <w:sz w:val="20"/>
                <w:szCs w:val="20"/>
              </w:rPr>
              <w:t>遵循“以人为本、健康第一”的教育思想，学习基本的体育理论以及田径、球类、健美操、武术等项目的基本知识、技术、技能。</w:t>
            </w:r>
          </w:p>
        </w:tc>
      </w:tr>
    </w:tbl>
    <w:p>
      <w:pPr>
        <w:spacing w:line="480" w:lineRule="exact"/>
        <w:ind w:firstLine="482" w:firstLineChars="200"/>
        <w:rPr>
          <w:rFonts w:ascii="黑体" w:hAnsi="黑体" w:eastAsia="黑体"/>
          <w:b/>
          <w:sz w:val="24"/>
          <w:szCs w:val="24"/>
        </w:rPr>
      </w:pPr>
      <w:r>
        <w:rPr>
          <w:rFonts w:hint="eastAsia" w:ascii="黑体" w:hAnsi="黑体" w:eastAsia="黑体"/>
          <w:b/>
          <w:sz w:val="24"/>
          <w:szCs w:val="24"/>
        </w:rPr>
        <w:t>2</w:t>
      </w:r>
      <w:r>
        <w:rPr>
          <w:rFonts w:hint="eastAsia" w:ascii="仿宋" w:hAnsi="仿宋" w:eastAsia="仿宋"/>
          <w:b/>
          <w:color w:val="000000"/>
          <w:sz w:val="24"/>
          <w:szCs w:val="24"/>
        </w:rPr>
        <w:t>.</w:t>
      </w:r>
      <w:r>
        <w:rPr>
          <w:rFonts w:hint="eastAsia" w:ascii="黑体" w:hAnsi="黑体" w:eastAsia="黑体"/>
          <w:b/>
          <w:sz w:val="24"/>
          <w:szCs w:val="24"/>
        </w:rPr>
        <w:t>专业课程</w:t>
      </w:r>
    </w:p>
    <w:p>
      <w:pPr>
        <w:spacing w:line="480" w:lineRule="exact"/>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（1）专业群平台/基础课程</w:t>
      </w:r>
    </w:p>
    <w:p>
      <w:pPr>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本专业设置专业群平台/基础课程5门，包括建筑法规、应用数学、建筑力学、建筑材料与检测、建筑CAD课程。</w:t>
      </w:r>
    </w:p>
    <w:p>
      <w:pPr>
        <w:spacing w:line="480" w:lineRule="exact"/>
        <w:jc w:val="center"/>
        <w:rPr>
          <w:rFonts w:ascii="仿宋" w:hAnsi="仿宋" w:eastAsia="仿宋"/>
          <w:b/>
          <w:sz w:val="24"/>
          <w:szCs w:val="24"/>
        </w:rPr>
      </w:pPr>
      <w:r>
        <w:rPr>
          <w:rFonts w:hint="eastAsia" w:ascii="仿宋" w:hAnsi="仿宋" w:eastAsia="仿宋"/>
          <w:b/>
          <w:sz w:val="24"/>
          <w:szCs w:val="24"/>
        </w:rPr>
        <w:t>表3 专业群平台/基础课程</w:t>
      </w:r>
    </w:p>
    <w:tbl>
      <w:tblPr>
        <w:tblStyle w:val="10"/>
        <w:tblW w:w="808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383"/>
        <w:gridCol w:w="5988"/>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shd w:val="clear" w:color="auto" w:fill="FFFFFF" w:themeFill="background1"/>
            <w:vAlign w:val="center"/>
          </w:tcPr>
          <w:p>
            <w:pPr>
              <w:jc w:val="center"/>
              <w:rPr>
                <w:rFonts w:ascii="仿宋" w:hAnsi="仿宋" w:eastAsia="仿宋"/>
                <w:b/>
                <w:sz w:val="20"/>
                <w:szCs w:val="20"/>
              </w:rPr>
            </w:pPr>
            <w:r>
              <w:rPr>
                <w:rFonts w:hint="eastAsia" w:ascii="仿宋" w:hAnsi="仿宋" w:eastAsia="仿宋"/>
                <w:b/>
                <w:sz w:val="20"/>
                <w:szCs w:val="20"/>
              </w:rPr>
              <w:t>序号</w:t>
            </w:r>
          </w:p>
        </w:tc>
        <w:tc>
          <w:tcPr>
            <w:tcW w:w="1383" w:type="dxa"/>
            <w:shd w:val="clear" w:color="auto" w:fill="FFFFFF" w:themeFill="background1"/>
            <w:vAlign w:val="center"/>
          </w:tcPr>
          <w:p>
            <w:pPr>
              <w:rPr>
                <w:rFonts w:ascii="仿宋" w:hAnsi="仿宋" w:eastAsia="仿宋"/>
                <w:b/>
                <w:sz w:val="20"/>
                <w:szCs w:val="20"/>
              </w:rPr>
            </w:pPr>
            <w:r>
              <w:rPr>
                <w:rFonts w:hint="eastAsia" w:ascii="仿宋" w:hAnsi="仿宋" w:eastAsia="仿宋"/>
                <w:b/>
                <w:sz w:val="20"/>
                <w:szCs w:val="20"/>
              </w:rPr>
              <w:t>课程名称</w:t>
            </w:r>
          </w:p>
        </w:tc>
        <w:tc>
          <w:tcPr>
            <w:tcW w:w="5988" w:type="dxa"/>
            <w:shd w:val="clear" w:color="auto" w:fill="FFFFFF" w:themeFill="background1"/>
            <w:vAlign w:val="center"/>
          </w:tcPr>
          <w:p>
            <w:pPr>
              <w:jc w:val="center"/>
              <w:rPr>
                <w:rFonts w:ascii="仿宋" w:hAnsi="仿宋" w:eastAsia="仿宋"/>
                <w:b/>
                <w:sz w:val="20"/>
                <w:szCs w:val="20"/>
              </w:rPr>
            </w:pPr>
            <w:r>
              <w:rPr>
                <w:rFonts w:hint="eastAsia" w:ascii="仿宋" w:hAnsi="仿宋" w:eastAsia="仿宋"/>
                <w:b/>
                <w:sz w:val="20"/>
                <w:szCs w:val="20"/>
              </w:rPr>
              <w:t>课程目标、主要内容</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spacing w:line="240" w:lineRule="exact"/>
              <w:jc w:val="center"/>
              <w:rPr>
                <w:rFonts w:ascii="宋体" w:hAnsi="宋体"/>
                <w:sz w:val="20"/>
                <w:szCs w:val="20"/>
              </w:rPr>
            </w:pPr>
            <w:r>
              <w:rPr>
                <w:rFonts w:hint="eastAsia" w:ascii="宋体" w:hAnsi="宋体"/>
                <w:sz w:val="20"/>
                <w:szCs w:val="20"/>
              </w:rPr>
              <w:t>1</w:t>
            </w:r>
          </w:p>
        </w:tc>
        <w:tc>
          <w:tcPr>
            <w:tcW w:w="1383" w:type="dxa"/>
            <w:vAlign w:val="center"/>
          </w:tcPr>
          <w:p>
            <w:pPr>
              <w:spacing w:line="240" w:lineRule="exact"/>
              <w:jc w:val="center"/>
              <w:rPr>
                <w:rFonts w:ascii="宋体" w:hAnsi="宋体" w:eastAsia="仿宋"/>
                <w:sz w:val="20"/>
                <w:szCs w:val="20"/>
              </w:rPr>
            </w:pPr>
            <w:r>
              <w:rPr>
                <w:rFonts w:hint="eastAsia" w:ascii="仿宋" w:hAnsi="仿宋" w:eastAsia="仿宋" w:cs="仿宋"/>
                <w:sz w:val="20"/>
                <w:szCs w:val="20"/>
              </w:rPr>
              <w:t>建筑法规</w:t>
            </w:r>
          </w:p>
        </w:tc>
        <w:tc>
          <w:tcPr>
            <w:tcW w:w="5988" w:type="dxa"/>
            <w:vAlign w:val="center"/>
          </w:tcPr>
          <w:p>
            <w:pPr>
              <w:ind w:firstLine="394" w:firstLineChars="196"/>
              <w:rPr>
                <w:rFonts w:ascii="仿宋" w:hAnsi="仿宋" w:eastAsia="仿宋" w:cs="仿宋"/>
                <w:sz w:val="20"/>
                <w:szCs w:val="20"/>
              </w:rPr>
            </w:pPr>
            <w:r>
              <w:rPr>
                <w:rFonts w:hint="eastAsia" w:ascii="仿宋" w:hAnsi="仿宋" w:eastAsia="仿宋" w:cs="仿宋"/>
                <w:b/>
                <w:bCs/>
                <w:sz w:val="20"/>
                <w:szCs w:val="20"/>
              </w:rPr>
              <w:t>课程目标：</w:t>
            </w:r>
            <w:r>
              <w:rPr>
                <w:rFonts w:hint="eastAsia" w:ascii="仿宋" w:hAnsi="仿宋" w:eastAsia="仿宋" w:cs="仿宋"/>
                <w:sz w:val="20"/>
                <w:szCs w:val="20"/>
              </w:rPr>
              <w:t>通过本课程的教学，使学生能初步了解和掌握建设法规与案例分析方面的基本知识和理论，帮助学生能够正确运用所学的建筑法律规范和法律基本知识，联系具体要求案例，理解和运用基本的建筑法规解决实际问题，同时培养法治经济意识。</w:t>
            </w:r>
          </w:p>
          <w:p>
            <w:pPr>
              <w:ind w:firstLine="394" w:firstLineChars="196"/>
              <w:rPr>
                <w:rFonts w:ascii="宋体" w:hAnsi="宋体"/>
                <w:sz w:val="20"/>
                <w:szCs w:val="20"/>
              </w:rPr>
            </w:pPr>
            <w:r>
              <w:rPr>
                <w:rFonts w:hint="eastAsia" w:ascii="仿宋" w:hAnsi="仿宋" w:eastAsia="仿宋" w:cs="仿宋"/>
                <w:b/>
                <w:bCs/>
                <w:sz w:val="20"/>
                <w:szCs w:val="20"/>
              </w:rPr>
              <w:t>主要内容：</w:t>
            </w:r>
            <w:r>
              <w:rPr>
                <w:rFonts w:hint="eastAsia" w:ascii="仿宋" w:hAnsi="仿宋" w:eastAsia="仿宋" w:cs="仿宋"/>
                <w:sz w:val="20"/>
                <w:szCs w:val="20"/>
              </w:rPr>
              <w:t>课程学习依法建设的意识，以规范建设程序，防止工程建设中的违法行为。本课程讲授在建设项目立项、勘查、设计、施工和竣工验收等阶段应遵循的法定建设程序。</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spacing w:line="240" w:lineRule="exact"/>
              <w:jc w:val="center"/>
              <w:rPr>
                <w:rFonts w:ascii="宋体" w:hAnsi="宋体"/>
                <w:sz w:val="20"/>
                <w:szCs w:val="20"/>
              </w:rPr>
            </w:pPr>
            <w:r>
              <w:rPr>
                <w:rFonts w:hint="eastAsia" w:ascii="宋体" w:hAnsi="宋体"/>
                <w:sz w:val="20"/>
                <w:szCs w:val="20"/>
              </w:rPr>
              <w:t>2</w:t>
            </w:r>
          </w:p>
        </w:tc>
        <w:tc>
          <w:tcPr>
            <w:tcW w:w="1383" w:type="dxa"/>
            <w:vAlign w:val="center"/>
          </w:tcPr>
          <w:p>
            <w:pPr>
              <w:jc w:val="center"/>
              <w:rPr>
                <w:rFonts w:ascii="仿宋" w:hAnsi="仿宋" w:eastAsia="仿宋" w:cs="仿宋"/>
                <w:sz w:val="20"/>
                <w:szCs w:val="20"/>
              </w:rPr>
            </w:pPr>
            <w:r>
              <w:rPr>
                <w:rFonts w:hint="eastAsia" w:ascii="仿宋" w:hAnsi="仿宋" w:eastAsia="仿宋" w:cs="仿宋"/>
                <w:sz w:val="20"/>
                <w:szCs w:val="20"/>
              </w:rPr>
              <w:t>建筑CAD</w:t>
            </w:r>
          </w:p>
        </w:tc>
        <w:tc>
          <w:tcPr>
            <w:tcW w:w="5988" w:type="dxa"/>
            <w:vAlign w:val="center"/>
          </w:tcPr>
          <w:p>
            <w:pPr>
              <w:adjustRightInd w:val="0"/>
              <w:snapToGrid w:val="0"/>
              <w:ind w:firstLine="394" w:firstLineChars="196"/>
              <w:rPr>
                <w:rFonts w:ascii="仿宋" w:hAnsi="仿宋" w:eastAsia="仿宋" w:cs="仿宋"/>
                <w:sz w:val="20"/>
                <w:szCs w:val="20"/>
              </w:rPr>
            </w:pPr>
            <w:r>
              <w:rPr>
                <w:rFonts w:hint="eastAsia" w:ascii="仿宋" w:hAnsi="仿宋" w:eastAsia="仿宋" w:cs="仿宋"/>
                <w:b/>
                <w:bCs/>
                <w:sz w:val="20"/>
                <w:szCs w:val="20"/>
              </w:rPr>
              <w:t>课程目标：</w:t>
            </w:r>
            <w:r>
              <w:rPr>
                <w:rFonts w:hint="eastAsia" w:ascii="仿宋" w:hAnsi="仿宋" w:eastAsia="仿宋" w:cs="仿宋"/>
                <w:sz w:val="20"/>
                <w:szCs w:val="20"/>
              </w:rPr>
              <w:t>通过建筑CAD理论和实际操作技能方面的教育，帮助学生建立起现代的操作和技能观念，培养学生运用现代理论发现问题、分析问题和解决问题的能力。</w:t>
            </w:r>
          </w:p>
          <w:p>
            <w:pPr>
              <w:adjustRightInd w:val="0"/>
              <w:snapToGrid w:val="0"/>
              <w:ind w:firstLine="394" w:firstLineChars="196"/>
              <w:rPr>
                <w:rFonts w:ascii="仿宋" w:hAnsi="仿宋" w:eastAsia="仿宋" w:cs="仿宋"/>
                <w:sz w:val="20"/>
                <w:szCs w:val="20"/>
              </w:rPr>
            </w:pPr>
            <w:r>
              <w:rPr>
                <w:rFonts w:hint="eastAsia" w:ascii="仿宋" w:hAnsi="仿宋" w:eastAsia="仿宋" w:cs="仿宋"/>
                <w:b/>
                <w:bCs/>
                <w:sz w:val="20"/>
                <w:szCs w:val="20"/>
              </w:rPr>
              <w:t>主要内容：</w:t>
            </w:r>
            <w:r>
              <w:rPr>
                <w:rFonts w:hint="eastAsia" w:ascii="仿宋" w:hAnsi="仿宋" w:eastAsia="仿宋" w:cs="仿宋"/>
                <w:sz w:val="20"/>
                <w:szCs w:val="20"/>
              </w:rPr>
              <w:t>绘制基本图样、绘制施工方案示意图、绘制建筑施工图以及图纸编辑修改和转换。</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spacing w:line="240" w:lineRule="exact"/>
              <w:jc w:val="center"/>
              <w:rPr>
                <w:rFonts w:ascii="宋体" w:hAnsi="宋体"/>
                <w:sz w:val="20"/>
                <w:szCs w:val="20"/>
              </w:rPr>
            </w:pPr>
            <w:r>
              <w:rPr>
                <w:rFonts w:hint="eastAsia" w:ascii="宋体" w:hAnsi="宋体"/>
                <w:sz w:val="20"/>
                <w:szCs w:val="20"/>
              </w:rPr>
              <w:t>3</w:t>
            </w:r>
          </w:p>
        </w:tc>
        <w:tc>
          <w:tcPr>
            <w:tcW w:w="1383" w:type="dxa"/>
            <w:vAlign w:val="center"/>
          </w:tcPr>
          <w:p>
            <w:pPr>
              <w:jc w:val="center"/>
              <w:rPr>
                <w:rFonts w:ascii="仿宋" w:hAnsi="仿宋" w:eastAsia="仿宋" w:cs="仿宋"/>
                <w:sz w:val="20"/>
                <w:szCs w:val="20"/>
              </w:rPr>
            </w:pPr>
            <w:r>
              <w:rPr>
                <w:rFonts w:hint="eastAsia" w:ascii="仿宋" w:hAnsi="仿宋" w:eastAsia="仿宋" w:cs="仿宋"/>
                <w:sz w:val="20"/>
                <w:szCs w:val="20"/>
              </w:rPr>
              <w:t>建筑力学</w:t>
            </w:r>
          </w:p>
        </w:tc>
        <w:tc>
          <w:tcPr>
            <w:tcW w:w="5988" w:type="dxa"/>
            <w:vAlign w:val="center"/>
          </w:tcPr>
          <w:p>
            <w:pPr>
              <w:adjustRightInd w:val="0"/>
              <w:snapToGrid w:val="0"/>
              <w:ind w:firstLine="402" w:firstLineChars="200"/>
              <w:rPr>
                <w:rFonts w:ascii="仿宋" w:hAnsi="仿宋" w:eastAsia="仿宋" w:cs="仿宋"/>
                <w:sz w:val="20"/>
                <w:szCs w:val="20"/>
              </w:rPr>
            </w:pPr>
            <w:r>
              <w:rPr>
                <w:rFonts w:hint="eastAsia" w:ascii="仿宋" w:hAnsi="仿宋" w:eastAsia="仿宋" w:cs="仿宋"/>
                <w:b/>
                <w:bCs/>
                <w:sz w:val="20"/>
                <w:szCs w:val="20"/>
              </w:rPr>
              <w:t>课程目标：</w:t>
            </w:r>
            <w:r>
              <w:rPr>
                <w:rFonts w:hint="eastAsia" w:ascii="仿宋" w:hAnsi="仿宋" w:eastAsia="仿宋" w:cs="仿宋"/>
                <w:sz w:val="20"/>
                <w:szCs w:val="20"/>
              </w:rPr>
              <w:t>掌握静定结构的内力计算方法；具有简化工程中的力学问题，分析解决实际力学问题的能力；能对工程实际的简单构件进行设计、校核计算的能力。</w:t>
            </w:r>
          </w:p>
          <w:p>
            <w:pPr>
              <w:adjustRightInd w:val="0"/>
              <w:snapToGrid w:val="0"/>
              <w:ind w:firstLine="402" w:firstLineChars="200"/>
              <w:rPr>
                <w:rFonts w:ascii="仿宋" w:hAnsi="仿宋" w:eastAsia="仿宋" w:cs="仿宋"/>
                <w:sz w:val="20"/>
                <w:szCs w:val="20"/>
              </w:rPr>
            </w:pPr>
            <w:r>
              <w:rPr>
                <w:rFonts w:hint="eastAsia" w:ascii="仿宋" w:hAnsi="仿宋" w:eastAsia="仿宋" w:cs="仿宋"/>
                <w:b/>
                <w:bCs/>
                <w:sz w:val="20"/>
                <w:szCs w:val="20"/>
              </w:rPr>
              <w:t>主要内容：</w:t>
            </w:r>
            <w:r>
              <w:rPr>
                <w:rFonts w:hint="eastAsia" w:ascii="仿宋" w:hAnsi="仿宋" w:eastAsia="仿宋" w:cs="仿宋"/>
                <w:sz w:val="20"/>
                <w:szCs w:val="20"/>
              </w:rPr>
              <w:t>主要掌握建筑力学基本知识；静定结构的内力分析；杆件强度计算；压杆稳定计算。</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spacing w:line="240" w:lineRule="exact"/>
              <w:jc w:val="center"/>
              <w:rPr>
                <w:rFonts w:ascii="宋体" w:hAnsi="宋体"/>
                <w:sz w:val="20"/>
                <w:szCs w:val="20"/>
              </w:rPr>
            </w:pPr>
            <w:r>
              <w:rPr>
                <w:rFonts w:hint="eastAsia" w:ascii="宋体" w:hAnsi="宋体"/>
                <w:sz w:val="20"/>
                <w:szCs w:val="20"/>
              </w:rPr>
              <w:t>4</w:t>
            </w:r>
          </w:p>
        </w:tc>
        <w:tc>
          <w:tcPr>
            <w:tcW w:w="1383" w:type="dxa"/>
            <w:vAlign w:val="center"/>
          </w:tcPr>
          <w:p>
            <w:pPr>
              <w:jc w:val="center"/>
              <w:rPr>
                <w:rFonts w:ascii="仿宋" w:hAnsi="仿宋" w:eastAsia="仿宋" w:cs="仿宋"/>
                <w:sz w:val="20"/>
                <w:szCs w:val="20"/>
              </w:rPr>
            </w:pPr>
            <w:r>
              <w:rPr>
                <w:rFonts w:hint="eastAsia" w:ascii="仿宋" w:hAnsi="仿宋" w:eastAsia="仿宋" w:cs="仿宋"/>
                <w:sz w:val="20"/>
                <w:szCs w:val="20"/>
              </w:rPr>
              <w:t>建筑材料与检测</w:t>
            </w:r>
          </w:p>
        </w:tc>
        <w:tc>
          <w:tcPr>
            <w:tcW w:w="5988" w:type="dxa"/>
            <w:vAlign w:val="center"/>
          </w:tcPr>
          <w:p>
            <w:pPr>
              <w:adjustRightInd w:val="0"/>
              <w:snapToGrid w:val="0"/>
              <w:ind w:firstLine="402" w:firstLineChars="200"/>
              <w:rPr>
                <w:rFonts w:ascii="仿宋" w:hAnsi="仿宋" w:eastAsia="仿宋" w:cs="仿宋"/>
                <w:sz w:val="20"/>
                <w:szCs w:val="20"/>
              </w:rPr>
            </w:pPr>
            <w:r>
              <w:rPr>
                <w:rFonts w:hint="eastAsia" w:ascii="仿宋" w:hAnsi="仿宋" w:eastAsia="仿宋" w:cs="仿宋"/>
                <w:b/>
                <w:bCs/>
                <w:sz w:val="20"/>
                <w:szCs w:val="20"/>
              </w:rPr>
              <w:t>课程目标：</w:t>
            </w:r>
            <w:r>
              <w:rPr>
                <w:rFonts w:hint="eastAsia" w:ascii="仿宋" w:hAnsi="仿宋" w:eastAsia="仿宋" w:cs="仿宋"/>
                <w:sz w:val="20"/>
                <w:szCs w:val="20"/>
              </w:rPr>
              <w:t>使学生了解常见的建筑材料的基础知识和一般概念；学会编制常用建筑材料检测方案并熟悉其检验试验过程，能够进行一些简单的材料试验；培养学生的职业技能与职业素养；培养从事施工现场技术与管理工作的高素质技能型专门人才。</w:t>
            </w:r>
          </w:p>
          <w:p>
            <w:pPr>
              <w:adjustRightInd w:val="0"/>
              <w:snapToGrid w:val="0"/>
              <w:ind w:firstLine="402" w:firstLineChars="200"/>
              <w:rPr>
                <w:rFonts w:ascii="仿宋" w:hAnsi="仿宋" w:eastAsia="仿宋" w:cs="仿宋"/>
                <w:sz w:val="20"/>
                <w:szCs w:val="20"/>
              </w:rPr>
            </w:pPr>
            <w:r>
              <w:rPr>
                <w:rFonts w:hint="eastAsia" w:ascii="仿宋" w:hAnsi="仿宋" w:eastAsia="仿宋" w:cs="仿宋"/>
                <w:b/>
                <w:bCs/>
                <w:sz w:val="20"/>
                <w:szCs w:val="20"/>
              </w:rPr>
              <w:t>主要内容：</w:t>
            </w:r>
            <w:r>
              <w:rPr>
                <w:rFonts w:hint="eastAsia" w:ascii="仿宋" w:hAnsi="仿宋" w:eastAsia="仿宋" w:cs="仿宋"/>
                <w:sz w:val="20"/>
                <w:szCs w:val="20"/>
              </w:rPr>
              <w:t>主要介绍常见建筑材料的类型、技术性质、试验检测以及工程应用，包括砂、石、水泥、混凝土、砂浆、钢材以及墙体材料等常见建筑材料的基本类型、基本性质以及常规检测方法，掌握常见材料的质量标准、取样方法以及保管的基本知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vAlign w:val="center"/>
          </w:tcPr>
          <w:p>
            <w:pPr>
              <w:spacing w:line="240" w:lineRule="exact"/>
              <w:jc w:val="center"/>
              <w:rPr>
                <w:rFonts w:ascii="宋体" w:hAnsi="宋体"/>
                <w:sz w:val="20"/>
                <w:szCs w:val="20"/>
              </w:rPr>
            </w:pPr>
            <w:r>
              <w:rPr>
                <w:rFonts w:hint="eastAsia" w:ascii="宋体" w:hAnsi="宋体"/>
                <w:sz w:val="20"/>
                <w:szCs w:val="20"/>
              </w:rPr>
              <w:t>5</w:t>
            </w:r>
          </w:p>
        </w:tc>
        <w:tc>
          <w:tcPr>
            <w:tcW w:w="1383" w:type="dxa"/>
            <w:vAlign w:val="center"/>
          </w:tcPr>
          <w:p>
            <w:pPr>
              <w:jc w:val="center"/>
              <w:rPr>
                <w:rFonts w:ascii="仿宋" w:hAnsi="仿宋" w:eastAsia="仿宋" w:cs="仿宋"/>
                <w:sz w:val="20"/>
                <w:szCs w:val="20"/>
              </w:rPr>
            </w:pPr>
            <w:r>
              <w:rPr>
                <w:rFonts w:hint="eastAsia" w:ascii="仿宋" w:hAnsi="仿宋" w:eastAsia="仿宋" w:cs="仿宋"/>
                <w:sz w:val="20"/>
                <w:szCs w:val="20"/>
              </w:rPr>
              <w:t>应用数学</w:t>
            </w:r>
          </w:p>
        </w:tc>
        <w:tc>
          <w:tcPr>
            <w:tcW w:w="5988" w:type="dxa"/>
            <w:vAlign w:val="center"/>
          </w:tcPr>
          <w:p>
            <w:pPr>
              <w:adjustRightInd w:val="0"/>
              <w:snapToGrid w:val="0"/>
              <w:ind w:firstLine="402" w:firstLineChars="200"/>
              <w:rPr>
                <w:rFonts w:ascii="仿宋" w:hAnsi="仿宋" w:eastAsia="仿宋" w:cs="仿宋"/>
                <w:sz w:val="20"/>
                <w:szCs w:val="20"/>
              </w:rPr>
            </w:pPr>
            <w:r>
              <w:rPr>
                <w:rFonts w:hint="eastAsia" w:ascii="仿宋" w:hAnsi="仿宋" w:eastAsia="仿宋" w:cs="仿宋"/>
                <w:b/>
                <w:bCs/>
                <w:sz w:val="20"/>
                <w:szCs w:val="20"/>
              </w:rPr>
              <w:t>课程目标：</w:t>
            </w:r>
            <w:r>
              <w:rPr>
                <w:rFonts w:hint="eastAsia" w:ascii="仿宋" w:hAnsi="仿宋" w:eastAsia="仿宋" w:cs="仿宋"/>
                <w:sz w:val="20"/>
                <w:szCs w:val="20"/>
              </w:rPr>
              <w:t>通过这门课程的学习，培养学生一定的抽象思维能力、逻辑推理能力、运算能力和空间想象能力，学会通过运用所学知识分析并解决一些简单的实际问题。</w:t>
            </w:r>
          </w:p>
          <w:p>
            <w:pPr>
              <w:adjustRightInd w:val="0"/>
              <w:snapToGrid w:val="0"/>
              <w:ind w:firstLine="402" w:firstLineChars="200"/>
              <w:rPr>
                <w:rFonts w:ascii="仿宋" w:hAnsi="仿宋" w:eastAsia="仿宋" w:cs="仿宋"/>
                <w:sz w:val="20"/>
                <w:szCs w:val="20"/>
              </w:rPr>
            </w:pPr>
            <w:r>
              <w:rPr>
                <w:rFonts w:hint="eastAsia" w:ascii="仿宋" w:hAnsi="仿宋" w:eastAsia="仿宋" w:cs="仿宋"/>
                <w:b/>
                <w:bCs/>
                <w:sz w:val="20"/>
                <w:szCs w:val="20"/>
              </w:rPr>
              <w:t>主要内容：</w:t>
            </w:r>
            <w:r>
              <w:rPr>
                <w:rFonts w:hint="eastAsia" w:ascii="仿宋" w:hAnsi="仿宋" w:eastAsia="仿宋" w:cs="仿宋"/>
                <w:sz w:val="20"/>
                <w:szCs w:val="20"/>
              </w:rPr>
              <w:t>函数、极限和连续、一元函数微分学、一元函数积分学、无穷级数、常微分方程、向量代数与空间解析几何的基本概念、基本理论和基本方法。</w:t>
            </w:r>
          </w:p>
        </w:tc>
      </w:tr>
    </w:tbl>
    <w:p>
      <w:pPr>
        <w:autoSpaceDE w:val="0"/>
        <w:autoSpaceDN w:val="0"/>
        <w:adjustRightInd w:val="0"/>
        <w:spacing w:line="480" w:lineRule="exact"/>
        <w:ind w:left="420" w:leftChars="200"/>
        <w:jc w:val="left"/>
        <w:rPr>
          <w:rFonts w:ascii="仿宋" w:hAnsi="仿宋" w:eastAsia="仿宋" w:cs="仿宋"/>
          <w:b/>
          <w:bCs/>
          <w:sz w:val="24"/>
          <w:szCs w:val="24"/>
        </w:rPr>
      </w:pPr>
      <w:r>
        <w:rPr>
          <w:rFonts w:hint="eastAsia" w:ascii="仿宋" w:hAnsi="仿宋" w:eastAsia="仿宋" w:cs="仿宋"/>
          <w:b/>
          <w:bCs/>
          <w:sz w:val="24"/>
          <w:szCs w:val="24"/>
        </w:rPr>
        <w:t>（2）专</w:t>
      </w:r>
      <w:r>
        <w:rPr>
          <w:rFonts w:hint="eastAsia" w:ascii="华文仿宋" w:hAnsi="华文仿宋" w:eastAsia="华文仿宋"/>
          <w:b/>
          <w:bCs/>
          <w:sz w:val="24"/>
          <w:szCs w:val="24"/>
        </w:rPr>
        <w:t>业</w:t>
      </w:r>
      <w:r>
        <w:rPr>
          <w:rFonts w:hint="eastAsia" w:ascii="仿宋" w:hAnsi="仿宋" w:eastAsia="仿宋" w:cs="仿宋"/>
          <w:b/>
          <w:bCs/>
          <w:sz w:val="24"/>
          <w:szCs w:val="24"/>
        </w:rPr>
        <w:t>核心课程</w:t>
      </w:r>
    </w:p>
    <w:p>
      <w:pPr>
        <w:autoSpaceDE w:val="0"/>
        <w:autoSpaceDN w:val="0"/>
        <w:adjustRightInd w:val="0"/>
        <w:spacing w:line="480" w:lineRule="exact"/>
        <w:ind w:firstLine="480" w:firstLineChars="200"/>
        <w:jc w:val="left"/>
        <w:rPr>
          <w:rFonts w:ascii="华文仿宋" w:hAnsi="华文仿宋" w:eastAsia="华文仿宋"/>
          <w:sz w:val="24"/>
          <w:szCs w:val="24"/>
        </w:rPr>
      </w:pPr>
      <w:r>
        <w:rPr>
          <w:rFonts w:hint="eastAsia" w:ascii="华文仿宋" w:hAnsi="华文仿宋" w:eastAsia="华文仿宋"/>
          <w:sz w:val="24"/>
          <w:szCs w:val="24"/>
        </w:rPr>
        <w:t>本专业设置专业核心课8门，包括建筑工程测量、建筑结构、钢筋混凝土结构技术、土力学与地基基础、建筑工程质量与安全管理、建筑施工组织与设计、建筑识图与构造、钢结构安装技术课程。</w:t>
      </w:r>
    </w:p>
    <w:p>
      <w:pPr>
        <w:spacing w:line="480" w:lineRule="exact"/>
        <w:jc w:val="center"/>
        <w:rPr>
          <w:rFonts w:ascii="仿宋" w:hAnsi="仿宋" w:eastAsia="仿宋"/>
          <w:b/>
          <w:sz w:val="24"/>
          <w:szCs w:val="24"/>
        </w:rPr>
      </w:pPr>
      <w:r>
        <w:rPr>
          <w:rFonts w:hint="eastAsia" w:ascii="仿宋" w:hAnsi="仿宋" w:eastAsia="仿宋"/>
          <w:b/>
          <w:sz w:val="24"/>
          <w:szCs w:val="24"/>
        </w:rPr>
        <w:t>表4 专业核心课程</w:t>
      </w:r>
    </w:p>
    <w:tbl>
      <w:tblPr>
        <w:tblStyle w:val="10"/>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1277"/>
        <w:gridCol w:w="610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44" w:type="dxa"/>
            <w:shd w:val="clear" w:color="auto" w:fill="D9D9D9"/>
            <w:vAlign w:val="center"/>
          </w:tcPr>
          <w:p>
            <w:pPr>
              <w:jc w:val="center"/>
              <w:rPr>
                <w:rFonts w:ascii="仿宋" w:hAnsi="仿宋" w:eastAsia="仿宋" w:cs="仿宋"/>
                <w:szCs w:val="21"/>
              </w:rPr>
            </w:pPr>
            <w:r>
              <w:rPr>
                <w:rFonts w:hint="eastAsia" w:ascii="仿宋" w:hAnsi="仿宋" w:eastAsia="仿宋" w:cs="仿宋"/>
                <w:szCs w:val="21"/>
              </w:rPr>
              <w:t>序号</w:t>
            </w:r>
          </w:p>
        </w:tc>
        <w:tc>
          <w:tcPr>
            <w:tcW w:w="1277" w:type="dxa"/>
            <w:shd w:val="clear" w:color="auto" w:fill="D9D9D9"/>
            <w:vAlign w:val="center"/>
          </w:tcPr>
          <w:p>
            <w:pPr>
              <w:rPr>
                <w:rFonts w:ascii="仿宋" w:hAnsi="仿宋" w:eastAsia="仿宋" w:cs="仿宋"/>
                <w:szCs w:val="21"/>
              </w:rPr>
            </w:pPr>
            <w:r>
              <w:rPr>
                <w:rFonts w:hint="eastAsia" w:ascii="仿宋" w:hAnsi="仿宋" w:eastAsia="仿宋" w:cs="仿宋"/>
                <w:szCs w:val="21"/>
              </w:rPr>
              <w:t>课程名称</w:t>
            </w:r>
          </w:p>
        </w:tc>
        <w:tc>
          <w:tcPr>
            <w:tcW w:w="6106" w:type="dxa"/>
            <w:shd w:val="clear" w:color="auto" w:fill="D9D9D9"/>
            <w:vAlign w:val="center"/>
          </w:tcPr>
          <w:p>
            <w:pPr>
              <w:jc w:val="center"/>
              <w:rPr>
                <w:rFonts w:ascii="仿宋" w:hAnsi="仿宋" w:eastAsia="仿宋" w:cs="仿宋"/>
                <w:szCs w:val="21"/>
              </w:rPr>
            </w:pPr>
            <w:r>
              <w:rPr>
                <w:rFonts w:hint="eastAsia" w:ascii="仿宋" w:hAnsi="仿宋" w:eastAsia="仿宋" w:cs="仿宋"/>
                <w:szCs w:val="21"/>
              </w:rPr>
              <w:t>教学内容与教学目标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Align w:val="center"/>
          </w:tcPr>
          <w:p>
            <w:pPr>
              <w:spacing w:line="360" w:lineRule="auto"/>
              <w:rPr>
                <w:rFonts w:ascii="仿宋" w:hAnsi="仿宋" w:eastAsia="仿宋" w:cs="仿宋"/>
                <w:sz w:val="20"/>
                <w:szCs w:val="20"/>
              </w:rPr>
            </w:pPr>
            <w:r>
              <w:rPr>
                <w:rFonts w:hint="eastAsia" w:ascii="仿宋" w:hAnsi="仿宋" w:eastAsia="仿宋" w:cs="仿宋"/>
                <w:sz w:val="20"/>
                <w:szCs w:val="20"/>
              </w:rPr>
              <w:t>1</w:t>
            </w:r>
          </w:p>
        </w:tc>
        <w:tc>
          <w:tcPr>
            <w:tcW w:w="1277" w:type="dxa"/>
            <w:vAlign w:val="center"/>
          </w:tcPr>
          <w:p>
            <w:pPr>
              <w:spacing w:line="360" w:lineRule="auto"/>
              <w:jc w:val="center"/>
              <w:rPr>
                <w:rFonts w:ascii="仿宋" w:hAnsi="仿宋" w:eastAsia="仿宋" w:cs="仿宋"/>
                <w:sz w:val="20"/>
                <w:szCs w:val="20"/>
              </w:rPr>
            </w:pPr>
            <w:r>
              <w:rPr>
                <w:rFonts w:hint="eastAsia" w:ascii="仿宋" w:hAnsi="仿宋" w:eastAsia="仿宋" w:cs="仿宋"/>
                <w:sz w:val="20"/>
                <w:szCs w:val="20"/>
              </w:rPr>
              <w:t>建筑工程测量</w:t>
            </w:r>
          </w:p>
        </w:tc>
        <w:tc>
          <w:tcPr>
            <w:tcW w:w="6106" w:type="dxa"/>
            <w:vAlign w:val="center"/>
          </w:tcPr>
          <w:p>
            <w:pPr>
              <w:adjustRightInd w:val="0"/>
              <w:snapToGrid w:val="0"/>
              <w:spacing w:line="360" w:lineRule="auto"/>
              <w:ind w:firstLine="392" w:firstLineChars="196"/>
              <w:rPr>
                <w:rFonts w:ascii="仿宋" w:hAnsi="仿宋" w:eastAsia="仿宋" w:cs="仿宋"/>
                <w:sz w:val="20"/>
                <w:szCs w:val="20"/>
                <w:lang w:bidi="ar"/>
              </w:rPr>
            </w:pPr>
            <w:r>
              <w:rPr>
                <w:rFonts w:hint="eastAsia" w:ascii="仿宋" w:hAnsi="仿宋" w:eastAsia="仿宋" w:cs="仿宋"/>
                <w:sz w:val="20"/>
                <w:szCs w:val="20"/>
                <w:lang w:bidi="ar"/>
              </w:rPr>
              <w:t>课程目标：</w:t>
            </w:r>
            <w:r>
              <w:rPr>
                <w:rFonts w:hint="eastAsia" w:ascii="仿宋" w:hAnsi="仿宋" w:eastAsia="仿宋" w:cs="仿宋"/>
                <w:sz w:val="20"/>
                <w:szCs w:val="20"/>
              </w:rPr>
              <w:t>学生掌握建筑</w:t>
            </w:r>
            <w:r>
              <w:rPr>
                <w:rFonts w:hint="eastAsia" w:ascii="仿宋" w:hAnsi="仿宋" w:eastAsia="仿宋" w:cs="仿宋"/>
                <w:sz w:val="20"/>
                <w:szCs w:val="20"/>
                <w:lang w:eastAsia="zh-CN"/>
              </w:rPr>
              <w:t>工程</w:t>
            </w:r>
            <w:r>
              <w:rPr>
                <w:rFonts w:hint="eastAsia" w:ascii="仿宋" w:hAnsi="仿宋" w:eastAsia="仿宋" w:cs="仿宋"/>
                <w:sz w:val="20"/>
                <w:szCs w:val="20"/>
              </w:rPr>
              <w:t>测量的原理和方法；培养学生</w:t>
            </w:r>
            <w:r>
              <w:rPr>
                <w:rFonts w:hint="eastAsia" w:ascii="仿宋" w:hAnsi="仿宋" w:eastAsia="仿宋" w:cs="仿宋"/>
                <w:sz w:val="20"/>
                <w:szCs w:val="20"/>
                <w:lang w:eastAsia="zh-CN"/>
              </w:rPr>
              <w:t>对</w:t>
            </w:r>
            <w:r>
              <w:rPr>
                <w:rFonts w:hint="eastAsia" w:ascii="仿宋" w:hAnsi="仿宋" w:eastAsia="仿宋" w:cs="仿宋"/>
                <w:sz w:val="20"/>
                <w:szCs w:val="20"/>
              </w:rPr>
              <w:t>事物的理解能力；培养学生的分析思考、计算能力；提高学生的动手实操的专业素质。</w:t>
            </w:r>
          </w:p>
          <w:p>
            <w:pPr>
              <w:adjustRightInd w:val="0"/>
              <w:snapToGrid w:val="0"/>
              <w:spacing w:line="360" w:lineRule="auto"/>
              <w:ind w:firstLine="392" w:firstLineChars="196"/>
              <w:rPr>
                <w:rFonts w:ascii="仿宋" w:hAnsi="仿宋" w:eastAsia="仿宋" w:cs="仿宋"/>
                <w:sz w:val="20"/>
                <w:szCs w:val="20"/>
              </w:rPr>
            </w:pPr>
            <w:r>
              <w:rPr>
                <w:rFonts w:hint="eastAsia" w:ascii="仿宋" w:hAnsi="仿宋" w:eastAsia="仿宋" w:cs="仿宋"/>
                <w:sz w:val="20"/>
                <w:szCs w:val="20"/>
                <w:lang w:bidi="ar"/>
              </w:rPr>
              <w:t>主要内容：</w:t>
            </w:r>
            <w:r>
              <w:rPr>
                <w:rFonts w:hint="eastAsia" w:ascii="仿宋" w:hAnsi="仿宋" w:eastAsia="仿宋" w:cs="仿宋"/>
                <w:sz w:val="20"/>
                <w:szCs w:val="20"/>
              </w:rPr>
              <w:t>主要是研究建筑工程测量的基本知识和操作技能，包括测量的一般概念、常规测量仪器和工具的使用以及工程要素（高差、角度和距离）测定和测设的基本方法，在此基础上掌握基本测量数据的处理。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Align w:val="center"/>
          </w:tcPr>
          <w:p>
            <w:pPr>
              <w:spacing w:line="360" w:lineRule="auto"/>
              <w:rPr>
                <w:rFonts w:ascii="仿宋" w:hAnsi="仿宋" w:eastAsia="仿宋" w:cs="仿宋"/>
                <w:sz w:val="20"/>
                <w:szCs w:val="20"/>
              </w:rPr>
            </w:pPr>
            <w:r>
              <w:rPr>
                <w:rFonts w:hint="eastAsia" w:ascii="仿宋" w:hAnsi="仿宋" w:eastAsia="仿宋" w:cs="仿宋"/>
                <w:sz w:val="20"/>
                <w:szCs w:val="20"/>
              </w:rPr>
              <w:t>2</w:t>
            </w:r>
          </w:p>
        </w:tc>
        <w:tc>
          <w:tcPr>
            <w:tcW w:w="1277" w:type="dxa"/>
            <w:vAlign w:val="center"/>
          </w:tcPr>
          <w:p>
            <w:pPr>
              <w:spacing w:line="360" w:lineRule="auto"/>
              <w:jc w:val="center"/>
              <w:rPr>
                <w:rFonts w:ascii="仿宋" w:hAnsi="仿宋" w:eastAsia="仿宋" w:cs="仿宋"/>
                <w:b/>
                <w:sz w:val="18"/>
                <w:szCs w:val="18"/>
                <w:lang w:bidi="ar"/>
              </w:rPr>
            </w:pPr>
            <w:r>
              <w:rPr>
                <w:rFonts w:hint="eastAsia" w:ascii="仿宋" w:hAnsi="仿宋" w:eastAsia="仿宋" w:cs="仿宋"/>
                <w:sz w:val="20"/>
                <w:szCs w:val="20"/>
              </w:rPr>
              <w:t>建筑结构</w:t>
            </w:r>
          </w:p>
        </w:tc>
        <w:tc>
          <w:tcPr>
            <w:tcW w:w="6106" w:type="dxa"/>
            <w:vAlign w:val="center"/>
          </w:tcPr>
          <w:p>
            <w:pPr>
              <w:adjustRightInd w:val="0"/>
              <w:snapToGrid w:val="0"/>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课程目标：培养学生钢筋混凝土结构构件设计、钢结构连接与结构构件设计、砌体结构设计等各种结构设计能力；培养学生识读建筑结构施工图纸的能力以及进行简单的结构计算；培养学生严肃严谨的工作作风。</w:t>
            </w:r>
          </w:p>
          <w:p>
            <w:pPr>
              <w:adjustRightInd w:val="0"/>
              <w:snapToGrid w:val="0"/>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主要内容：结构选型；结构荷载与内力分析；选择混凝土结构材料；混凝土梁、板、柱的设计；识读混凝土结构施工图；混凝土结构钢筋翻样、加工与绑扎；识读砌体结构施工图；识读钢结构施工图；钢结构工程安装。</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Align w:val="center"/>
          </w:tcPr>
          <w:p>
            <w:pPr>
              <w:spacing w:line="360" w:lineRule="auto"/>
              <w:rPr>
                <w:rFonts w:ascii="仿宋" w:hAnsi="仿宋" w:eastAsia="仿宋" w:cs="仿宋"/>
                <w:sz w:val="20"/>
                <w:szCs w:val="20"/>
              </w:rPr>
            </w:pPr>
            <w:r>
              <w:rPr>
                <w:rFonts w:hint="eastAsia" w:ascii="仿宋" w:hAnsi="仿宋" w:eastAsia="仿宋" w:cs="仿宋"/>
                <w:sz w:val="20"/>
                <w:szCs w:val="20"/>
              </w:rPr>
              <w:t>3</w:t>
            </w:r>
          </w:p>
        </w:tc>
        <w:tc>
          <w:tcPr>
            <w:tcW w:w="1277" w:type="dxa"/>
            <w:vAlign w:val="center"/>
          </w:tcPr>
          <w:p>
            <w:pPr>
              <w:spacing w:line="360" w:lineRule="auto"/>
              <w:jc w:val="center"/>
              <w:rPr>
                <w:rFonts w:ascii="仿宋" w:hAnsi="仿宋" w:eastAsia="仿宋" w:cs="仿宋"/>
                <w:sz w:val="20"/>
                <w:szCs w:val="20"/>
              </w:rPr>
            </w:pPr>
            <w:r>
              <w:rPr>
                <w:rFonts w:hint="eastAsia" w:ascii="仿宋" w:hAnsi="仿宋" w:eastAsia="仿宋" w:cs="仿宋"/>
                <w:sz w:val="20"/>
                <w:szCs w:val="20"/>
              </w:rPr>
              <w:t>钢筋混凝土结构技术</w:t>
            </w:r>
          </w:p>
        </w:tc>
        <w:tc>
          <w:tcPr>
            <w:tcW w:w="6106" w:type="dxa"/>
            <w:vAlign w:val="center"/>
          </w:tcPr>
          <w:p>
            <w:pPr>
              <w:adjustRightInd w:val="0"/>
              <w:snapToGrid w:val="0"/>
              <w:spacing w:line="360" w:lineRule="auto"/>
              <w:ind w:firstLine="392" w:firstLineChars="196"/>
              <w:rPr>
                <w:rFonts w:ascii="仿宋" w:hAnsi="仿宋" w:eastAsia="仿宋" w:cs="仿宋"/>
                <w:sz w:val="20"/>
                <w:szCs w:val="20"/>
              </w:rPr>
            </w:pPr>
            <w:r>
              <w:rPr>
                <w:rFonts w:hint="eastAsia" w:ascii="仿宋" w:hAnsi="仿宋" w:eastAsia="仿宋" w:cs="仿宋"/>
                <w:sz w:val="20"/>
                <w:szCs w:val="20"/>
              </w:rPr>
              <w:t>课程目标：了解钢筋混凝土结构基本概念；熟悉钢筋锚固长度与混凝土保护层厚度；</w:t>
            </w:r>
            <w:r>
              <w:rPr>
                <w:rFonts w:hint="eastAsia" w:ascii="仿宋" w:hAnsi="仿宋" w:eastAsia="仿宋" w:cs="仿宋"/>
                <w:sz w:val="20"/>
                <w:szCs w:val="20"/>
                <w:lang w:eastAsia="zh-CN"/>
              </w:rPr>
              <w:t>熟</w:t>
            </w:r>
            <w:r>
              <w:rPr>
                <w:rFonts w:hint="eastAsia" w:ascii="仿宋" w:hAnsi="仿宋" w:eastAsia="仿宋" w:cs="仿宋"/>
                <w:sz w:val="20"/>
                <w:szCs w:val="20"/>
              </w:rPr>
              <w:t>悉基础施工图、施工构造，并能够进行基础BIM建模；熟悉柱平法施工图、施工构造，并能够进行柱BIM建模；熟悉梁平法施工图、施工构造，并能够进行梁BIM建模；熟悉楼梯结构施工图、施工构造，并能够进行楼梯BIM建模；熟悉</w:t>
            </w:r>
            <w:r>
              <w:rPr>
                <w:rFonts w:hint="eastAsia" w:ascii="仿宋" w:hAnsi="仿宋" w:eastAsia="仿宋" w:cs="仿宋"/>
                <w:sz w:val="20"/>
                <w:szCs w:val="20"/>
                <w:lang w:eastAsia="zh-CN"/>
              </w:rPr>
              <w:t>现</w:t>
            </w:r>
            <w:r>
              <w:rPr>
                <w:rFonts w:hint="eastAsia" w:ascii="仿宋" w:hAnsi="仿宋" w:eastAsia="仿宋" w:cs="仿宋"/>
                <w:sz w:val="20"/>
                <w:szCs w:val="20"/>
              </w:rPr>
              <w:t>浇板施工图、施工构造，并能够进行现浇板BIM建模；熟悉剪力墙平法施工图、施工构造，并能够进行剪力墙BIM建模；熟悉钢筋翻样原理，并能够进行钢筋翻样。</w:t>
            </w:r>
          </w:p>
          <w:p>
            <w:pPr>
              <w:adjustRightInd w:val="0"/>
              <w:snapToGrid w:val="0"/>
              <w:spacing w:line="360" w:lineRule="auto"/>
              <w:ind w:firstLine="392" w:firstLineChars="196"/>
              <w:rPr>
                <w:rFonts w:ascii="仿宋" w:hAnsi="仿宋" w:eastAsia="仿宋" w:cs="仿宋"/>
                <w:sz w:val="20"/>
                <w:szCs w:val="20"/>
              </w:rPr>
            </w:pPr>
            <w:r>
              <w:rPr>
                <w:rFonts w:hint="eastAsia" w:ascii="仿宋" w:hAnsi="仿宋" w:eastAsia="仿宋" w:cs="仿宋"/>
                <w:sz w:val="20"/>
                <w:szCs w:val="20"/>
              </w:rPr>
              <w:t>主要内容：熟悉钢筋混凝土结构；楼梯结构施工图、施工构造；钢筋翻样技术。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Align w:val="center"/>
          </w:tcPr>
          <w:p>
            <w:pPr>
              <w:spacing w:line="360" w:lineRule="auto"/>
              <w:rPr>
                <w:rFonts w:ascii="仿宋" w:hAnsi="仿宋" w:eastAsia="仿宋" w:cs="仿宋"/>
                <w:sz w:val="20"/>
                <w:szCs w:val="20"/>
              </w:rPr>
            </w:pPr>
            <w:r>
              <w:rPr>
                <w:rFonts w:hint="eastAsia" w:ascii="仿宋" w:hAnsi="仿宋" w:eastAsia="仿宋" w:cs="仿宋"/>
                <w:sz w:val="20"/>
                <w:szCs w:val="20"/>
              </w:rPr>
              <w:t>4</w:t>
            </w:r>
          </w:p>
        </w:tc>
        <w:tc>
          <w:tcPr>
            <w:tcW w:w="1277" w:type="dxa"/>
            <w:vAlign w:val="center"/>
          </w:tcPr>
          <w:p>
            <w:pPr>
              <w:spacing w:line="360" w:lineRule="auto"/>
              <w:jc w:val="center"/>
              <w:rPr>
                <w:rFonts w:ascii="仿宋" w:hAnsi="仿宋" w:eastAsia="仿宋" w:cs="仿宋"/>
                <w:sz w:val="20"/>
                <w:szCs w:val="20"/>
              </w:rPr>
            </w:pPr>
            <w:r>
              <w:rPr>
                <w:rFonts w:hint="eastAsia" w:ascii="仿宋" w:hAnsi="仿宋" w:eastAsia="仿宋" w:cs="仿宋"/>
                <w:sz w:val="20"/>
                <w:szCs w:val="20"/>
              </w:rPr>
              <w:t>土力学与地基基础</w:t>
            </w:r>
          </w:p>
        </w:tc>
        <w:tc>
          <w:tcPr>
            <w:tcW w:w="6106" w:type="dxa"/>
            <w:vAlign w:val="center"/>
          </w:tcPr>
          <w:p>
            <w:pPr>
              <w:adjustRightInd w:val="0"/>
              <w:snapToGrid w:val="0"/>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课程目标：使学生能运用课程的基本原理和方法，具备解决与土相关的实际工程问题的能力。能根据</w:t>
            </w:r>
            <w:r>
              <w:rPr>
                <w:rFonts w:hint="eastAsia" w:ascii="仿宋" w:hAnsi="仿宋" w:eastAsia="仿宋" w:cs="仿宋"/>
                <w:sz w:val="20"/>
                <w:szCs w:val="20"/>
                <w:lang w:eastAsia="zh-CN"/>
              </w:rPr>
              <w:t>土</w:t>
            </w:r>
            <w:r>
              <w:rPr>
                <w:rFonts w:hint="eastAsia" w:ascii="仿宋" w:hAnsi="仿宋" w:eastAsia="仿宋" w:cs="仿宋"/>
                <w:sz w:val="20"/>
                <w:szCs w:val="20"/>
              </w:rPr>
              <w:t>的物理性质的概念，对土的物理指标进行测定和换算，对土进行评价和分类。根据土力学基本原理进行挡土墙和土坡稳定分析。能进行地基土的沉降计算；结合土力学理论公式进行一般浅基础的设计。</w:t>
            </w:r>
          </w:p>
          <w:p>
            <w:pPr>
              <w:adjustRightInd w:val="0"/>
              <w:snapToGrid w:val="0"/>
              <w:spacing w:line="360" w:lineRule="auto"/>
              <w:ind w:firstLine="400" w:firstLineChars="200"/>
              <w:rPr>
                <w:rFonts w:ascii="仿宋" w:hAnsi="仿宋" w:eastAsia="仿宋" w:cs="仿宋"/>
              </w:rPr>
            </w:pPr>
            <w:r>
              <w:rPr>
                <w:rFonts w:hint="eastAsia" w:ascii="仿宋" w:hAnsi="仿宋" w:eastAsia="仿宋" w:cs="仿宋"/>
                <w:sz w:val="20"/>
                <w:szCs w:val="20"/>
              </w:rPr>
              <w:t>主要内容：主要包含土的物理性质和工程分类；土中应力计算方法包括自重应力和附加应力；地基变形计算的理论知识；挡土墙种类和基本设计原理；浅基础设计等内容。</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Align w:val="center"/>
          </w:tcPr>
          <w:p>
            <w:pPr>
              <w:spacing w:line="360" w:lineRule="auto"/>
              <w:rPr>
                <w:rFonts w:ascii="仿宋" w:hAnsi="仿宋" w:eastAsia="仿宋" w:cs="仿宋"/>
                <w:sz w:val="20"/>
                <w:szCs w:val="20"/>
              </w:rPr>
            </w:pPr>
            <w:r>
              <w:rPr>
                <w:rFonts w:hint="eastAsia" w:ascii="仿宋" w:hAnsi="仿宋" w:eastAsia="仿宋" w:cs="仿宋"/>
                <w:sz w:val="20"/>
                <w:szCs w:val="20"/>
              </w:rPr>
              <w:t>5</w:t>
            </w:r>
          </w:p>
        </w:tc>
        <w:tc>
          <w:tcPr>
            <w:tcW w:w="1277" w:type="dxa"/>
            <w:vAlign w:val="center"/>
          </w:tcPr>
          <w:p>
            <w:pPr>
              <w:spacing w:line="360" w:lineRule="auto"/>
              <w:jc w:val="center"/>
              <w:rPr>
                <w:rFonts w:ascii="仿宋" w:hAnsi="仿宋" w:eastAsia="仿宋" w:cs="仿宋"/>
                <w:sz w:val="20"/>
                <w:szCs w:val="20"/>
              </w:rPr>
            </w:pPr>
            <w:r>
              <w:rPr>
                <w:rFonts w:hint="eastAsia" w:ascii="仿宋" w:hAnsi="仿宋" w:eastAsia="仿宋" w:cs="仿宋"/>
                <w:sz w:val="20"/>
                <w:szCs w:val="20"/>
              </w:rPr>
              <w:t>建筑工程质量与安全管理</w:t>
            </w:r>
          </w:p>
        </w:tc>
        <w:tc>
          <w:tcPr>
            <w:tcW w:w="6106" w:type="dxa"/>
            <w:vAlign w:val="center"/>
          </w:tcPr>
          <w:p>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课程目标：本课程通过理实一体化的教学手段，培养学生应用建设工程施工质量验收统一标准和建筑施工安全生产技术规范开展质量安全管理工作能力，具备进行施工过程质量与安全控制、工程质量验收，工程质量问题的处理、工地安全隐患的排查等能力，为学生从事质量安全工作打下良好的基础。</w:t>
            </w:r>
          </w:p>
          <w:p>
            <w:pPr>
              <w:spacing w:line="360" w:lineRule="auto"/>
              <w:ind w:firstLine="400" w:firstLineChars="200"/>
              <w:rPr>
                <w:rFonts w:ascii="仿宋" w:hAnsi="仿宋" w:eastAsia="仿宋" w:cs="仿宋"/>
              </w:rPr>
            </w:pPr>
            <w:r>
              <w:rPr>
                <w:rFonts w:hint="eastAsia" w:ascii="仿宋" w:hAnsi="仿宋" w:eastAsia="仿宋" w:cs="仿宋"/>
                <w:sz w:val="20"/>
                <w:szCs w:val="20"/>
              </w:rPr>
              <w:t>主要内容：主要以“质量员”、“安全员”等岗位知识和技能为标准，主要包括质量管理与验收基本知识，地基与基础质量检验，主体结构工程、屋面工程、安全生产管理与安全生产预控等内容。</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Align w:val="center"/>
          </w:tcPr>
          <w:p>
            <w:pPr>
              <w:spacing w:line="360" w:lineRule="auto"/>
              <w:rPr>
                <w:rFonts w:ascii="仿宋" w:hAnsi="仿宋" w:eastAsia="仿宋" w:cs="仿宋"/>
                <w:sz w:val="20"/>
                <w:szCs w:val="20"/>
              </w:rPr>
            </w:pPr>
            <w:r>
              <w:rPr>
                <w:rFonts w:hint="eastAsia" w:ascii="仿宋" w:hAnsi="仿宋" w:eastAsia="仿宋" w:cs="仿宋"/>
                <w:sz w:val="20"/>
                <w:szCs w:val="20"/>
              </w:rPr>
              <w:t>6</w:t>
            </w:r>
          </w:p>
        </w:tc>
        <w:tc>
          <w:tcPr>
            <w:tcW w:w="1277" w:type="dxa"/>
            <w:vAlign w:val="center"/>
          </w:tcPr>
          <w:p>
            <w:pPr>
              <w:spacing w:line="360" w:lineRule="auto"/>
              <w:jc w:val="center"/>
              <w:rPr>
                <w:rFonts w:ascii="仿宋" w:hAnsi="仿宋" w:eastAsia="仿宋" w:cs="仿宋"/>
                <w:sz w:val="20"/>
                <w:szCs w:val="20"/>
              </w:rPr>
            </w:pPr>
            <w:r>
              <w:rPr>
                <w:rFonts w:hint="eastAsia" w:ascii="仿宋" w:hAnsi="仿宋" w:eastAsia="仿宋" w:cs="仿宋"/>
                <w:sz w:val="20"/>
                <w:szCs w:val="20"/>
              </w:rPr>
              <w:t>建筑施工组织与设计</w:t>
            </w:r>
          </w:p>
        </w:tc>
        <w:tc>
          <w:tcPr>
            <w:tcW w:w="6106" w:type="dxa"/>
            <w:vAlign w:val="center"/>
          </w:tcPr>
          <w:p>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课程目标：通过本课程的教学，培养学生使用施工管理软件编制进度计划、绘制施工平面图、完成施工组织设计文件的编制并按此技术文件进行施工管理，具备从事工程管理岗位需求的基本能力。熟悉建设项目组成、建筑产品、施工特点及施工程序；掌握施工准备工作的内容及方法；掌握流水施工组织的基本方法；熟练运用网络计划方法、掌握双代号网络计划、双代号时标网络计划时间参数计算、关键线路确定；熟悉网络计划优化基本原理；掌握单位工程施工组织设计的主要内容及编制方法；掌握平面布置图设计步骤，使用CAD绘制施工平面布置图、施工总平面布置图；熟悉施工质量、成本核算、安全、工期等目标的保证措施。</w:t>
            </w:r>
          </w:p>
          <w:p>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主要内容：本课程主要内容是围绕建设工程</w:t>
            </w:r>
            <w:r>
              <w:rPr>
                <w:rFonts w:hint="eastAsia" w:ascii="仿宋" w:hAnsi="仿宋" w:eastAsia="仿宋" w:cs="仿宋"/>
                <w:sz w:val="20"/>
                <w:szCs w:val="20"/>
                <w:lang w:val="en-US" w:eastAsia="zh-CN"/>
              </w:rPr>
              <w:t>施工</w:t>
            </w:r>
            <w:r>
              <w:rPr>
                <w:rFonts w:hint="eastAsia" w:ascii="仿宋" w:hAnsi="仿宋" w:eastAsia="仿宋" w:cs="仿宋"/>
                <w:sz w:val="20"/>
                <w:szCs w:val="20"/>
              </w:rPr>
              <w:t>管理，由以下几部分组成：施工组织与管理的任务、流水施工原理、网络计划技术、施工组织设计。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Align w:val="center"/>
          </w:tcPr>
          <w:p>
            <w:pPr>
              <w:spacing w:line="360" w:lineRule="auto"/>
              <w:rPr>
                <w:rFonts w:ascii="仿宋" w:hAnsi="仿宋" w:eastAsia="仿宋" w:cs="仿宋"/>
                <w:sz w:val="20"/>
                <w:szCs w:val="20"/>
              </w:rPr>
            </w:pPr>
            <w:r>
              <w:rPr>
                <w:rFonts w:hint="eastAsia" w:ascii="仿宋" w:hAnsi="仿宋" w:eastAsia="仿宋" w:cs="仿宋"/>
                <w:sz w:val="20"/>
                <w:szCs w:val="20"/>
              </w:rPr>
              <w:t>7</w:t>
            </w:r>
          </w:p>
        </w:tc>
        <w:tc>
          <w:tcPr>
            <w:tcW w:w="1277" w:type="dxa"/>
            <w:vAlign w:val="center"/>
          </w:tcPr>
          <w:p>
            <w:pPr>
              <w:spacing w:line="360" w:lineRule="auto"/>
              <w:jc w:val="center"/>
              <w:rPr>
                <w:rFonts w:ascii="仿宋" w:hAnsi="仿宋" w:eastAsia="仿宋" w:cs="仿宋"/>
                <w:sz w:val="20"/>
                <w:szCs w:val="20"/>
              </w:rPr>
            </w:pPr>
            <w:r>
              <w:rPr>
                <w:rFonts w:hint="eastAsia" w:ascii="仿宋" w:hAnsi="仿宋" w:eastAsia="仿宋" w:cs="仿宋"/>
                <w:sz w:val="20"/>
                <w:szCs w:val="20"/>
                <w:lang w:bidi="ar"/>
              </w:rPr>
              <w:t>建筑识图与构造</w:t>
            </w:r>
          </w:p>
        </w:tc>
        <w:tc>
          <w:tcPr>
            <w:tcW w:w="6106" w:type="dxa"/>
            <w:vAlign w:val="center"/>
          </w:tcPr>
          <w:p>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课程目标：通过对学生进行全面的点、线、面投影知识以及建筑、结构施工图的识读训练，使学生具备建筑形体和建筑构件的基本绘图能力。</w:t>
            </w:r>
          </w:p>
          <w:p>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主要内容：遵循施工现场实用为主的原则，开展以下内容的教学：建筑形体投影图的表达；民用建筑构造认知与表达；建筑施工图的识读；结构施工图的识读；建筑工程施工图综合识读。</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744" w:type="dxa"/>
            <w:vAlign w:val="center"/>
          </w:tcPr>
          <w:p>
            <w:pPr>
              <w:spacing w:line="360" w:lineRule="auto"/>
              <w:rPr>
                <w:rFonts w:ascii="仿宋" w:hAnsi="仿宋" w:eastAsia="仿宋" w:cs="仿宋"/>
                <w:sz w:val="20"/>
                <w:szCs w:val="20"/>
              </w:rPr>
            </w:pPr>
            <w:r>
              <w:rPr>
                <w:rFonts w:hint="eastAsia" w:ascii="仿宋" w:hAnsi="仿宋" w:eastAsia="仿宋" w:cs="仿宋"/>
                <w:sz w:val="20"/>
                <w:szCs w:val="20"/>
              </w:rPr>
              <w:t>8</w:t>
            </w:r>
          </w:p>
        </w:tc>
        <w:tc>
          <w:tcPr>
            <w:tcW w:w="1277" w:type="dxa"/>
            <w:vAlign w:val="center"/>
          </w:tcPr>
          <w:p>
            <w:pPr>
              <w:spacing w:line="360" w:lineRule="auto"/>
              <w:jc w:val="center"/>
              <w:rPr>
                <w:rFonts w:ascii="仿宋" w:hAnsi="仿宋" w:eastAsia="仿宋" w:cs="仿宋"/>
                <w:sz w:val="20"/>
                <w:szCs w:val="20"/>
              </w:rPr>
            </w:pPr>
            <w:r>
              <w:rPr>
                <w:rFonts w:hint="eastAsia" w:ascii="仿宋" w:hAnsi="仿宋" w:eastAsia="仿宋" w:cs="仿宋"/>
                <w:sz w:val="20"/>
                <w:szCs w:val="20"/>
              </w:rPr>
              <w:t>钢结构安装技术</w:t>
            </w:r>
          </w:p>
        </w:tc>
        <w:tc>
          <w:tcPr>
            <w:tcW w:w="6106" w:type="dxa"/>
            <w:vAlign w:val="center"/>
          </w:tcPr>
          <w:p>
            <w:pPr>
              <w:spacing w:line="360" w:lineRule="auto"/>
              <w:ind w:firstLine="400" w:firstLineChars="200"/>
              <w:rPr>
                <w:rFonts w:ascii="仿宋" w:hAnsi="仿宋" w:eastAsia="仿宋" w:cs="仿宋"/>
                <w:sz w:val="20"/>
                <w:szCs w:val="20"/>
              </w:rPr>
            </w:pPr>
            <w:r>
              <w:rPr>
                <w:rFonts w:hint="eastAsia" w:ascii="仿宋" w:hAnsi="仿宋" w:eastAsia="仿宋" w:cs="仿宋"/>
                <w:sz w:val="20"/>
                <w:szCs w:val="20"/>
              </w:rPr>
              <w:t>课程目标：通过本课程的学习使学生较全面地了解钢结构材料的基本性能，掌握基本构件及其连接的设计计算方法，熟悉钢结构常规构件的加工制作工艺，了解钢结构常用的安装方案和安装施工方法，为学生从事建设项目施工、管理等相关工作打下坚实的基础。</w:t>
            </w:r>
          </w:p>
          <w:p>
            <w:pPr>
              <w:spacing w:line="360" w:lineRule="auto"/>
              <w:ind w:firstLine="400" w:firstLineChars="200"/>
              <w:rPr>
                <w:rFonts w:ascii="仿宋" w:hAnsi="仿宋" w:eastAsia="仿宋" w:cs="仿宋"/>
                <w:b/>
              </w:rPr>
            </w:pPr>
            <w:r>
              <w:rPr>
                <w:rFonts w:hint="eastAsia" w:ascii="仿宋" w:hAnsi="仿宋" w:eastAsia="仿宋" w:cs="仿宋"/>
                <w:color w:val="auto"/>
                <w:sz w:val="20"/>
                <w:szCs w:val="20"/>
                <w:highlight w:val="none"/>
              </w:rPr>
              <w:t>主要内容：以真实的轻钢结构为载体，</w:t>
            </w:r>
            <w:r>
              <w:rPr>
                <w:rFonts w:hint="eastAsia" w:ascii="仿宋" w:hAnsi="仿宋" w:eastAsia="仿宋" w:cs="仿宋"/>
                <w:sz w:val="20"/>
                <w:szCs w:val="20"/>
              </w:rPr>
              <w:t>将课程重构为（1）钢梁制作与安装；（2）钢柱制作与安装；（3）钢结构方舱医院安装；（4）钢结构住宅安装，共4个逐级递进模块化教学项目。</w:t>
            </w:r>
          </w:p>
        </w:tc>
      </w:tr>
    </w:tbl>
    <w:p>
      <w:pPr>
        <w:spacing w:line="480" w:lineRule="exact"/>
        <w:ind w:left="420" w:leftChars="200"/>
        <w:rPr>
          <w:rFonts w:ascii="仿宋" w:hAnsi="仿宋" w:eastAsia="仿宋" w:cs="仿宋"/>
          <w:b/>
          <w:sz w:val="24"/>
          <w:szCs w:val="24"/>
        </w:rPr>
      </w:pPr>
      <w:r>
        <w:rPr>
          <w:rFonts w:hint="eastAsia" w:ascii="仿宋" w:hAnsi="仿宋" w:eastAsia="仿宋" w:cs="仿宋"/>
          <w:b/>
          <w:sz w:val="24"/>
          <w:szCs w:val="24"/>
        </w:rPr>
        <w:t>（3）企业课程</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学徒岗位标准：通过培养实践，强化学生质量意识、效益意识、创造意识的培养，塑造学生的职业精神，从而让学生提高职业素养，融入企业文化，服从企业管理，热爱工作岗位，引导学生向优秀员工的方向发展。让学生接受多岗位锻炼，完成在专业培养目标中包含的各个岗位（工种）的轮岗实习任务，实现核心岗位（工种）达到毕业标准的目标要求。</w:t>
      </w:r>
    </w:p>
    <w:p>
      <w:pPr>
        <w:spacing w:line="480" w:lineRule="exact"/>
        <w:ind w:left="420" w:leftChars="200"/>
        <w:rPr>
          <w:rFonts w:ascii="仿宋" w:hAnsi="仿宋" w:eastAsia="仿宋" w:cs="仿宋"/>
          <w:b/>
          <w:sz w:val="24"/>
          <w:szCs w:val="24"/>
        </w:rPr>
      </w:pPr>
      <w:r>
        <w:rPr>
          <w:rFonts w:hint="eastAsia" w:ascii="仿宋" w:hAnsi="仿宋" w:eastAsia="仿宋" w:cs="仿宋"/>
          <w:b/>
          <w:sz w:val="24"/>
          <w:szCs w:val="24"/>
        </w:rPr>
        <w:t>（4）专业实践</w:t>
      </w:r>
    </w:p>
    <w:p>
      <w:pPr>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实训实习既是实践性教学，也是劳动教育、专业课教学的重要内容。本专业实践性教学主要有建筑工程技术综合实训、社会实践、毕业设计、岗位实习等。</w:t>
      </w:r>
    </w:p>
    <w:p>
      <w:pPr>
        <w:spacing w:line="480" w:lineRule="exact"/>
        <w:jc w:val="center"/>
        <w:rPr>
          <w:rFonts w:ascii="仿宋" w:hAnsi="仿宋" w:eastAsia="仿宋"/>
          <w:b/>
          <w:sz w:val="24"/>
          <w:szCs w:val="24"/>
        </w:rPr>
      </w:pPr>
      <w:r>
        <w:rPr>
          <w:rFonts w:hint="eastAsia" w:ascii="仿宋" w:hAnsi="仿宋" w:eastAsia="仿宋"/>
          <w:b/>
          <w:sz w:val="24"/>
          <w:szCs w:val="24"/>
        </w:rPr>
        <w:t>表5专业实践</w:t>
      </w:r>
    </w:p>
    <w:tbl>
      <w:tblPr>
        <w:tblStyle w:val="10"/>
        <w:tblW w:w="8573" w:type="dxa"/>
        <w:jc w:val="center"/>
        <w:tblBorders>
          <w:top w:val="single" w:color="auto" w:sz="4" w:space="0"/>
          <w:left w:val="none" w:color="auto" w:sz="0" w:space="0"/>
          <w:bottom w:val="single" w:color="000000" w:sz="6"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694"/>
        <w:gridCol w:w="519"/>
        <w:gridCol w:w="1182"/>
        <w:gridCol w:w="5178"/>
      </w:tblGrid>
      <w:tr>
        <w:tblPrEx>
          <w:tblBorders>
            <w:top w:val="single" w:color="auto" w:sz="4" w:space="0"/>
            <w:left w:val="none" w:color="auto" w:sz="0" w:space="0"/>
            <w:bottom w:val="single" w:color="000000" w:sz="6"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1694" w:type="dxa"/>
            <w:tcBorders>
              <w:tl2br w:val="nil"/>
              <w:tr2bl w:val="nil"/>
            </w:tcBorders>
            <w:vAlign w:val="center"/>
          </w:tcPr>
          <w:p>
            <w:pPr>
              <w:jc w:val="center"/>
              <w:rPr>
                <w:rFonts w:ascii="仿宋" w:hAnsi="仿宋" w:eastAsia="仿宋" w:cs="仿宋"/>
                <w:b/>
                <w:bCs/>
                <w:sz w:val="20"/>
                <w:szCs w:val="20"/>
              </w:rPr>
            </w:pPr>
            <w:r>
              <w:rPr>
                <w:rFonts w:hint="eastAsia" w:ascii="仿宋" w:hAnsi="仿宋" w:eastAsia="仿宋" w:cs="仿宋"/>
                <w:b/>
                <w:bCs/>
                <w:sz w:val="20"/>
                <w:szCs w:val="20"/>
              </w:rPr>
              <w:t>实践环节</w:t>
            </w:r>
          </w:p>
        </w:tc>
        <w:tc>
          <w:tcPr>
            <w:tcW w:w="519" w:type="dxa"/>
            <w:tcBorders>
              <w:tl2br w:val="nil"/>
              <w:tr2bl w:val="nil"/>
            </w:tcBorders>
            <w:vAlign w:val="center"/>
          </w:tcPr>
          <w:p>
            <w:pPr>
              <w:jc w:val="center"/>
              <w:rPr>
                <w:rFonts w:ascii="仿宋" w:hAnsi="仿宋" w:eastAsia="仿宋" w:cs="仿宋"/>
                <w:b/>
                <w:bCs/>
                <w:sz w:val="20"/>
                <w:szCs w:val="20"/>
              </w:rPr>
            </w:pPr>
            <w:r>
              <w:rPr>
                <w:rFonts w:hint="eastAsia" w:ascii="仿宋" w:hAnsi="仿宋" w:eastAsia="仿宋" w:cs="仿宋"/>
                <w:b/>
                <w:bCs/>
                <w:sz w:val="20"/>
                <w:szCs w:val="20"/>
              </w:rPr>
              <w:t>学期</w:t>
            </w:r>
          </w:p>
        </w:tc>
        <w:tc>
          <w:tcPr>
            <w:tcW w:w="1182" w:type="dxa"/>
            <w:tcBorders>
              <w:tl2br w:val="nil"/>
              <w:tr2bl w:val="nil"/>
            </w:tcBorders>
            <w:vAlign w:val="center"/>
          </w:tcPr>
          <w:p>
            <w:pPr>
              <w:jc w:val="center"/>
              <w:rPr>
                <w:rFonts w:ascii="仿宋" w:hAnsi="仿宋" w:eastAsia="仿宋" w:cs="仿宋"/>
                <w:b/>
                <w:bCs/>
                <w:sz w:val="20"/>
                <w:szCs w:val="20"/>
              </w:rPr>
            </w:pPr>
            <w:r>
              <w:rPr>
                <w:rFonts w:hint="eastAsia" w:ascii="仿宋" w:hAnsi="仿宋" w:eastAsia="仿宋" w:cs="仿宋"/>
                <w:b/>
                <w:bCs/>
                <w:sz w:val="20"/>
                <w:szCs w:val="20"/>
              </w:rPr>
              <w:t>课时或周数</w:t>
            </w:r>
          </w:p>
        </w:tc>
        <w:tc>
          <w:tcPr>
            <w:tcW w:w="5178" w:type="dxa"/>
            <w:tcBorders>
              <w:tl2br w:val="nil"/>
              <w:tr2bl w:val="nil"/>
            </w:tcBorders>
            <w:vAlign w:val="center"/>
          </w:tcPr>
          <w:p>
            <w:pPr>
              <w:jc w:val="center"/>
              <w:rPr>
                <w:rFonts w:ascii="仿宋" w:hAnsi="仿宋" w:eastAsia="仿宋" w:cs="仿宋"/>
                <w:b/>
                <w:bCs/>
                <w:sz w:val="20"/>
                <w:szCs w:val="20"/>
              </w:rPr>
            </w:pPr>
            <w:r>
              <w:rPr>
                <w:rFonts w:hint="eastAsia" w:ascii="仿宋" w:hAnsi="仿宋" w:eastAsia="仿宋" w:cs="仿宋"/>
                <w:b/>
                <w:bCs/>
                <w:sz w:val="20"/>
                <w:szCs w:val="20"/>
              </w:rPr>
              <w:t>主要内容及要求</w:t>
            </w:r>
          </w:p>
        </w:tc>
      </w:tr>
      <w:tr>
        <w:tblPrEx>
          <w:tblBorders>
            <w:top w:val="single" w:color="auto" w:sz="4" w:space="0"/>
            <w:left w:val="none" w:color="auto" w:sz="0" w:space="0"/>
            <w:bottom w:val="single" w:color="000000" w:sz="6"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1548" w:hRule="atLeast"/>
          <w:jc w:val="center"/>
        </w:trPr>
        <w:tc>
          <w:tcPr>
            <w:tcW w:w="1694" w:type="dxa"/>
            <w:tcBorders>
              <w:tl2br w:val="nil"/>
              <w:tr2bl w:val="nil"/>
            </w:tcBorders>
            <w:vAlign w:val="center"/>
          </w:tcPr>
          <w:p>
            <w:pPr>
              <w:jc w:val="center"/>
              <w:rPr>
                <w:rFonts w:ascii="仿宋" w:hAnsi="仿宋" w:eastAsia="仿宋" w:cs="仿宋"/>
                <w:sz w:val="18"/>
                <w:szCs w:val="18"/>
              </w:rPr>
            </w:pPr>
            <w:r>
              <w:rPr>
                <w:rFonts w:hint="eastAsia" w:ascii="仿宋" w:hAnsi="仿宋" w:eastAsia="仿宋" w:cs="仿宋"/>
                <w:sz w:val="18"/>
                <w:szCs w:val="18"/>
              </w:rPr>
              <w:t>建筑工程技术</w:t>
            </w:r>
          </w:p>
          <w:p>
            <w:pPr>
              <w:jc w:val="center"/>
              <w:rPr>
                <w:rFonts w:ascii="仿宋" w:hAnsi="仿宋" w:eastAsia="仿宋" w:cs="仿宋"/>
                <w:sz w:val="18"/>
                <w:szCs w:val="18"/>
              </w:rPr>
            </w:pPr>
            <w:r>
              <w:rPr>
                <w:rFonts w:hint="eastAsia" w:ascii="仿宋" w:hAnsi="仿宋" w:eastAsia="仿宋" w:cs="仿宋"/>
                <w:sz w:val="18"/>
                <w:szCs w:val="18"/>
              </w:rPr>
              <w:t>综合实训</w:t>
            </w:r>
          </w:p>
        </w:tc>
        <w:tc>
          <w:tcPr>
            <w:tcW w:w="519" w:type="dxa"/>
            <w:tcBorders>
              <w:tl2br w:val="nil"/>
              <w:tr2bl w:val="nil"/>
            </w:tcBorders>
            <w:vAlign w:val="center"/>
          </w:tcPr>
          <w:p>
            <w:pPr>
              <w:jc w:val="center"/>
              <w:rPr>
                <w:rFonts w:ascii="仿宋" w:hAnsi="仿宋" w:eastAsia="仿宋" w:cs="仿宋"/>
                <w:sz w:val="18"/>
                <w:szCs w:val="18"/>
              </w:rPr>
            </w:pPr>
            <w:r>
              <w:rPr>
                <w:rFonts w:hint="eastAsia" w:ascii="仿宋" w:hAnsi="仿宋" w:eastAsia="仿宋" w:cs="仿宋"/>
                <w:sz w:val="18"/>
                <w:szCs w:val="18"/>
              </w:rPr>
              <w:t>5</w:t>
            </w:r>
          </w:p>
        </w:tc>
        <w:tc>
          <w:tcPr>
            <w:tcW w:w="1182" w:type="dxa"/>
            <w:tcBorders>
              <w:tl2br w:val="nil"/>
              <w:tr2bl w:val="nil"/>
            </w:tcBorders>
            <w:vAlign w:val="center"/>
          </w:tcPr>
          <w:p>
            <w:pPr>
              <w:jc w:val="center"/>
              <w:rPr>
                <w:rFonts w:ascii="仿宋" w:hAnsi="仿宋" w:eastAsia="仿宋" w:cs="仿宋"/>
                <w:sz w:val="18"/>
                <w:szCs w:val="18"/>
              </w:rPr>
            </w:pPr>
            <w:r>
              <w:rPr>
                <w:rFonts w:hint="eastAsia" w:ascii="仿宋" w:hAnsi="仿宋" w:eastAsia="仿宋" w:cs="仿宋"/>
                <w:sz w:val="18"/>
                <w:szCs w:val="18"/>
              </w:rPr>
              <w:t>14周</w:t>
            </w:r>
          </w:p>
        </w:tc>
        <w:tc>
          <w:tcPr>
            <w:tcW w:w="5178" w:type="dxa"/>
            <w:tcBorders>
              <w:tl2br w:val="nil"/>
              <w:tr2bl w:val="nil"/>
            </w:tcBorders>
            <w:vAlign w:val="center"/>
          </w:tcPr>
          <w:p>
            <w:pPr>
              <w:ind w:firstLine="360" w:firstLineChars="200"/>
              <w:rPr>
                <w:rFonts w:ascii="仿宋" w:hAnsi="仿宋" w:eastAsia="仿宋" w:cs="仿宋"/>
                <w:sz w:val="18"/>
                <w:szCs w:val="18"/>
              </w:rPr>
            </w:pPr>
            <w:r>
              <w:rPr>
                <w:rFonts w:hint="eastAsia" w:ascii="仿宋" w:hAnsi="仿宋" w:eastAsia="仿宋" w:cs="仿宋"/>
                <w:sz w:val="18"/>
                <w:szCs w:val="18"/>
              </w:rPr>
              <w:t>1．对建筑工程技术专业所学技能进行集中综合实践训练，主要项目有建筑测量、建筑施工图识图、架手架施工方案、质量安全管理、土建预算等。</w:t>
            </w:r>
          </w:p>
          <w:p>
            <w:pPr>
              <w:ind w:firstLine="360" w:firstLineChars="200"/>
              <w:rPr>
                <w:rFonts w:ascii="仿宋" w:hAnsi="仿宋" w:eastAsia="仿宋" w:cs="仿宋"/>
                <w:sz w:val="18"/>
                <w:szCs w:val="18"/>
              </w:rPr>
            </w:pPr>
            <w:r>
              <w:rPr>
                <w:rFonts w:hint="eastAsia" w:ascii="仿宋" w:hAnsi="仿宋" w:eastAsia="仿宋" w:cs="仿宋"/>
                <w:sz w:val="18"/>
                <w:szCs w:val="18"/>
              </w:rPr>
              <w:t>2．掌握各个实训项目行业规程并熟练应用。</w:t>
            </w:r>
          </w:p>
        </w:tc>
      </w:tr>
      <w:tr>
        <w:tblPrEx>
          <w:tblBorders>
            <w:top w:val="single" w:color="auto" w:sz="4" w:space="0"/>
            <w:left w:val="none" w:color="auto" w:sz="0" w:space="0"/>
            <w:bottom w:val="single" w:color="000000" w:sz="6"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1694" w:type="dxa"/>
            <w:tcBorders>
              <w:tl2br w:val="nil"/>
              <w:tr2bl w:val="nil"/>
            </w:tcBorders>
            <w:vAlign w:val="center"/>
          </w:tcPr>
          <w:p>
            <w:pPr>
              <w:jc w:val="center"/>
              <w:rPr>
                <w:rFonts w:ascii="仿宋" w:hAnsi="仿宋" w:eastAsia="仿宋" w:cs="仿宋"/>
                <w:sz w:val="18"/>
                <w:szCs w:val="18"/>
              </w:rPr>
            </w:pPr>
            <w:r>
              <w:rPr>
                <w:rFonts w:hint="eastAsia" w:ascii="仿宋" w:hAnsi="仿宋" w:eastAsia="仿宋" w:cs="仿宋"/>
                <w:sz w:val="18"/>
                <w:szCs w:val="18"/>
              </w:rPr>
              <w:t>顶岗实习</w:t>
            </w:r>
          </w:p>
        </w:tc>
        <w:tc>
          <w:tcPr>
            <w:tcW w:w="519" w:type="dxa"/>
            <w:tcBorders>
              <w:tl2br w:val="nil"/>
              <w:tr2bl w:val="nil"/>
            </w:tcBorders>
            <w:vAlign w:val="center"/>
          </w:tcPr>
          <w:p>
            <w:pPr>
              <w:jc w:val="center"/>
              <w:rPr>
                <w:rFonts w:ascii="仿宋" w:hAnsi="仿宋" w:eastAsia="仿宋" w:cs="仿宋"/>
                <w:sz w:val="18"/>
                <w:szCs w:val="18"/>
              </w:rPr>
            </w:pPr>
            <w:r>
              <w:rPr>
                <w:rFonts w:hint="eastAsia" w:ascii="仿宋" w:hAnsi="仿宋" w:eastAsia="仿宋" w:cs="仿宋"/>
                <w:sz w:val="18"/>
                <w:szCs w:val="18"/>
              </w:rPr>
              <w:t>5</w:t>
            </w:r>
          </w:p>
        </w:tc>
        <w:tc>
          <w:tcPr>
            <w:tcW w:w="1182" w:type="dxa"/>
            <w:tcBorders>
              <w:tl2br w:val="nil"/>
              <w:tr2bl w:val="nil"/>
            </w:tcBorders>
            <w:vAlign w:val="center"/>
          </w:tcPr>
          <w:p>
            <w:pPr>
              <w:jc w:val="center"/>
              <w:rPr>
                <w:rFonts w:ascii="仿宋" w:hAnsi="仿宋" w:eastAsia="仿宋" w:cs="仿宋"/>
                <w:sz w:val="20"/>
                <w:szCs w:val="20"/>
              </w:rPr>
            </w:pPr>
            <w:r>
              <w:rPr>
                <w:rFonts w:hint="eastAsia" w:ascii="仿宋" w:hAnsi="仿宋" w:eastAsia="仿宋" w:cs="仿宋"/>
                <w:sz w:val="20"/>
                <w:szCs w:val="20"/>
              </w:rPr>
              <w:t>4周</w:t>
            </w:r>
          </w:p>
        </w:tc>
        <w:tc>
          <w:tcPr>
            <w:tcW w:w="5178" w:type="dxa"/>
            <w:tcBorders>
              <w:tl2br w:val="nil"/>
              <w:tr2bl w:val="nil"/>
            </w:tcBorders>
            <w:vAlign w:val="center"/>
          </w:tcPr>
          <w:p>
            <w:pPr>
              <w:ind w:firstLine="360" w:firstLineChars="200"/>
              <w:rPr>
                <w:rFonts w:ascii="仿宋" w:hAnsi="仿宋" w:eastAsia="仿宋" w:cs="仿宋"/>
                <w:sz w:val="18"/>
                <w:szCs w:val="18"/>
              </w:rPr>
            </w:pPr>
            <w:r>
              <w:rPr>
                <w:rFonts w:hint="eastAsia" w:ascii="仿宋" w:hAnsi="仿宋" w:eastAsia="仿宋" w:cs="仿宋"/>
                <w:sz w:val="18"/>
                <w:szCs w:val="18"/>
              </w:rPr>
              <w:t>掌握一个具体岗位技术要求</w:t>
            </w:r>
          </w:p>
        </w:tc>
      </w:tr>
      <w:tr>
        <w:tblPrEx>
          <w:tblBorders>
            <w:top w:val="single" w:color="auto" w:sz="4" w:space="0"/>
            <w:left w:val="none" w:color="auto" w:sz="0" w:space="0"/>
            <w:bottom w:val="single" w:color="000000" w:sz="6"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850" w:hRule="exact"/>
          <w:jc w:val="center"/>
        </w:trPr>
        <w:tc>
          <w:tcPr>
            <w:tcW w:w="1694" w:type="dxa"/>
            <w:tcBorders>
              <w:tl2br w:val="nil"/>
              <w:tr2bl w:val="nil"/>
            </w:tcBorders>
            <w:vAlign w:val="center"/>
          </w:tcPr>
          <w:p>
            <w:pPr>
              <w:jc w:val="center"/>
              <w:rPr>
                <w:rFonts w:ascii="仿宋" w:hAnsi="仿宋" w:eastAsia="仿宋" w:cs="仿宋"/>
                <w:sz w:val="18"/>
                <w:szCs w:val="18"/>
              </w:rPr>
            </w:pPr>
            <w:r>
              <w:rPr>
                <w:rFonts w:hint="eastAsia" w:ascii="仿宋" w:hAnsi="仿宋" w:eastAsia="仿宋" w:cs="仿宋"/>
                <w:sz w:val="18"/>
                <w:szCs w:val="18"/>
              </w:rPr>
              <w:t>毕业实习与设计</w:t>
            </w:r>
          </w:p>
        </w:tc>
        <w:tc>
          <w:tcPr>
            <w:tcW w:w="519" w:type="dxa"/>
            <w:tcBorders>
              <w:tl2br w:val="nil"/>
              <w:tr2bl w:val="nil"/>
            </w:tcBorders>
            <w:vAlign w:val="center"/>
          </w:tcPr>
          <w:p>
            <w:pPr>
              <w:jc w:val="center"/>
              <w:rPr>
                <w:rFonts w:ascii="仿宋" w:hAnsi="仿宋" w:eastAsia="仿宋" w:cs="仿宋"/>
                <w:sz w:val="20"/>
                <w:szCs w:val="20"/>
              </w:rPr>
            </w:pPr>
            <w:r>
              <w:rPr>
                <w:rFonts w:hint="eastAsia" w:ascii="仿宋" w:hAnsi="仿宋" w:eastAsia="仿宋" w:cs="仿宋"/>
                <w:sz w:val="20"/>
                <w:szCs w:val="20"/>
              </w:rPr>
              <w:t>6</w:t>
            </w:r>
          </w:p>
        </w:tc>
        <w:tc>
          <w:tcPr>
            <w:tcW w:w="1182" w:type="dxa"/>
            <w:tcBorders>
              <w:tl2br w:val="nil"/>
              <w:tr2bl w:val="nil"/>
            </w:tcBorders>
            <w:vAlign w:val="center"/>
          </w:tcPr>
          <w:p>
            <w:pPr>
              <w:jc w:val="center"/>
              <w:rPr>
                <w:rFonts w:ascii="仿宋" w:hAnsi="仿宋" w:eastAsia="仿宋" w:cs="仿宋"/>
                <w:sz w:val="20"/>
                <w:szCs w:val="20"/>
              </w:rPr>
            </w:pPr>
            <w:r>
              <w:rPr>
                <w:rFonts w:hint="eastAsia" w:ascii="仿宋" w:hAnsi="仿宋" w:eastAsia="仿宋" w:cs="仿宋"/>
                <w:sz w:val="20"/>
                <w:szCs w:val="20"/>
              </w:rPr>
              <w:t>18周</w:t>
            </w:r>
          </w:p>
        </w:tc>
        <w:tc>
          <w:tcPr>
            <w:tcW w:w="5178" w:type="dxa"/>
            <w:tcBorders>
              <w:tl2br w:val="nil"/>
              <w:tr2bl w:val="nil"/>
            </w:tcBorders>
            <w:vAlign w:val="center"/>
          </w:tcPr>
          <w:p>
            <w:pPr>
              <w:ind w:firstLine="400" w:firstLineChars="200"/>
              <w:jc w:val="left"/>
              <w:rPr>
                <w:rFonts w:ascii="仿宋" w:hAnsi="仿宋" w:eastAsia="仿宋" w:cs="仿宋"/>
                <w:sz w:val="20"/>
                <w:szCs w:val="20"/>
              </w:rPr>
            </w:pPr>
            <w:r>
              <w:rPr>
                <w:rFonts w:hint="eastAsia" w:ascii="华文仿宋" w:hAnsi="华文仿宋" w:eastAsia="华文仿宋" w:cs="宋体"/>
                <w:sz w:val="20"/>
                <w:szCs w:val="20"/>
              </w:rPr>
              <w:t>参见毕业实习与设计相关内容及要求</w:t>
            </w:r>
          </w:p>
        </w:tc>
      </w:tr>
    </w:tbl>
    <w:p>
      <w:pPr>
        <w:spacing w:line="480" w:lineRule="exact"/>
        <w:ind w:firstLine="482" w:firstLineChars="200"/>
        <w:rPr>
          <w:rFonts w:ascii="黑体" w:hAnsi="黑体" w:eastAsia="黑体" w:cs="华文仿宋"/>
          <w:b/>
          <w:sz w:val="24"/>
          <w:szCs w:val="24"/>
        </w:rPr>
      </w:pPr>
      <w:r>
        <w:rPr>
          <w:rFonts w:hint="eastAsia" w:ascii="黑体" w:hAnsi="黑体" w:eastAsia="黑体" w:cs="华文仿宋"/>
          <w:b/>
          <w:sz w:val="24"/>
          <w:szCs w:val="24"/>
        </w:rPr>
        <w:t>（三）课程思政融合</w:t>
      </w:r>
    </w:p>
    <w:p>
      <w:pPr>
        <w:spacing w:line="480" w:lineRule="exact"/>
        <w:ind w:firstLine="480" w:firstLineChars="200"/>
        <w:rPr>
          <w:rFonts w:ascii="黑体" w:hAnsi="黑体" w:eastAsia="黑体"/>
          <w:b/>
          <w:color w:val="000000"/>
          <w:sz w:val="30"/>
          <w:szCs w:val="30"/>
        </w:rPr>
      </w:pPr>
      <w:r>
        <w:rPr>
          <w:rFonts w:hint="eastAsia" w:ascii="仿宋" w:hAnsi="仿宋" w:eastAsia="仿宋" w:cs="仿宋"/>
          <w:bCs/>
          <w:sz w:val="24"/>
          <w:szCs w:val="24"/>
        </w:rPr>
        <w:t>深入挖掘建筑专业课程中蕴含的思政资源，合理嵌入育人要素，进行社会核心价值观引领。从建筑专业视角解读国家重大战略，增强学生个人融入国家发展大局的自觉性；从建筑发展的历程中，深挖中华优秀传统文化和革命文化，增强学生文化自信；强调绿色低碳、可持续发展理念，倡导人与自然和谐共生，牢固树立生态文明思想；秉承以人为本、以人民为中心的思想，追求卓越，造福社会。立足地区，面向全国，全过程、多层次介入思政教育要点，树立“安得广厦千万间”的建筑工作者的社会责任感。</w:t>
      </w:r>
    </w:p>
    <w:p>
      <w:pPr>
        <w:spacing w:line="360" w:lineRule="auto"/>
        <w:rPr>
          <w:rFonts w:ascii="黑体" w:hAnsi="黑体" w:eastAsia="黑体"/>
          <w:b/>
          <w:color w:val="000000"/>
          <w:sz w:val="30"/>
          <w:szCs w:val="30"/>
        </w:rPr>
      </w:pPr>
      <w:r>
        <w:rPr>
          <w:rFonts w:hint="eastAsia" w:ascii="黑体" w:hAnsi="黑体" w:eastAsia="黑体"/>
          <w:b/>
          <w:color w:val="000000"/>
          <w:sz w:val="30"/>
          <w:szCs w:val="30"/>
        </w:rPr>
        <w:t>七、</w:t>
      </w:r>
      <w:bookmarkStart w:id="6" w:name="七"/>
      <w:bookmarkEnd w:id="6"/>
      <w:r>
        <w:rPr>
          <w:rFonts w:hint="eastAsia" w:ascii="黑体" w:hAnsi="黑体" w:eastAsia="黑体"/>
          <w:b/>
          <w:color w:val="000000"/>
          <w:sz w:val="30"/>
          <w:szCs w:val="30"/>
        </w:rPr>
        <w:t>教学进程总体安排</w:t>
      </w:r>
    </w:p>
    <w:p>
      <w:pPr>
        <w:spacing w:line="360" w:lineRule="auto"/>
        <w:ind w:firstLine="482" w:firstLineChars="200"/>
        <w:rPr>
          <w:rFonts w:ascii="黑体" w:hAnsi="黑体" w:eastAsia="黑体"/>
          <w:b/>
          <w:color w:val="000000"/>
          <w:sz w:val="24"/>
          <w:szCs w:val="24"/>
        </w:rPr>
      </w:pPr>
      <w:r>
        <w:rPr>
          <w:rFonts w:hint="eastAsia" w:ascii="黑体" w:hAnsi="黑体" w:eastAsia="黑体"/>
          <w:b/>
          <w:color w:val="000000"/>
          <w:sz w:val="24"/>
          <w:szCs w:val="24"/>
        </w:rPr>
        <w:t>（一）教学周数分配</w:t>
      </w:r>
    </w:p>
    <w:p>
      <w:pPr>
        <w:spacing w:line="480" w:lineRule="exact"/>
        <w:jc w:val="center"/>
        <w:rPr>
          <w:rFonts w:ascii="仿宋" w:hAnsi="仿宋" w:eastAsia="仿宋"/>
          <w:b/>
          <w:sz w:val="24"/>
          <w:szCs w:val="24"/>
        </w:rPr>
      </w:pPr>
      <w:r>
        <w:rPr>
          <w:rFonts w:hint="eastAsia" w:ascii="仿宋" w:hAnsi="仿宋" w:eastAsia="仿宋"/>
          <w:b/>
          <w:sz w:val="24"/>
          <w:szCs w:val="24"/>
        </w:rPr>
        <w:t>表6 教学环节周数分配表</w:t>
      </w:r>
    </w:p>
    <w:tbl>
      <w:tblPr>
        <w:tblStyle w:val="10"/>
        <w:tblW w:w="8522" w:type="dxa"/>
        <w:jc w:val="center"/>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top w:w="0" w:type="dxa"/>
          <w:left w:w="108" w:type="dxa"/>
          <w:bottom w:w="0" w:type="dxa"/>
          <w:right w:w="108" w:type="dxa"/>
        </w:tblCellMar>
      </w:tblPr>
      <w:tblGrid>
        <w:gridCol w:w="2176"/>
        <w:gridCol w:w="918"/>
        <w:gridCol w:w="793"/>
        <w:gridCol w:w="1018"/>
        <w:gridCol w:w="711"/>
        <w:gridCol w:w="1096"/>
        <w:gridCol w:w="958"/>
        <w:gridCol w:w="852"/>
      </w:tblGrid>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195" w:hRule="atLeast"/>
          <w:jc w:val="center"/>
        </w:trPr>
        <w:tc>
          <w:tcPr>
            <w:tcW w:w="2176" w:type="dxa"/>
            <w:vMerge w:val="restart"/>
          </w:tcPr>
          <w:p>
            <w:pPr>
              <w:spacing w:line="360" w:lineRule="auto"/>
              <w:ind w:firstLine="1004" w:firstLineChars="500"/>
              <w:rPr>
                <w:rFonts w:ascii="仿宋" w:hAnsi="仿宋" w:eastAsia="仿宋"/>
                <w:b/>
                <w:sz w:val="20"/>
                <w:szCs w:val="20"/>
              </w:rPr>
            </w:pPr>
            <w:r>
              <w:rPr>
                <w:rFonts w:ascii="仿宋" w:hAnsi="仿宋" w:eastAsia="仿宋"/>
                <w:b/>
                <w:sz w:val="20"/>
                <w:szCs w:val="20"/>
              </w:rPr>
              <mc:AlternateContent>
                <mc:Choice Requires="wps">
                  <w:drawing>
                    <wp:anchor distT="0" distB="0" distL="114300" distR="114300" simplePos="0" relativeHeight="251660288" behindDoc="0" locked="0" layoutInCell="1" allowOverlap="1">
                      <wp:simplePos x="0" y="0"/>
                      <wp:positionH relativeFrom="column">
                        <wp:posOffset>-56515</wp:posOffset>
                      </wp:positionH>
                      <wp:positionV relativeFrom="paragraph">
                        <wp:posOffset>1270</wp:posOffset>
                      </wp:positionV>
                      <wp:extent cx="1345565" cy="524510"/>
                      <wp:effectExtent l="0" t="0" r="26035" b="2794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1345565" cy="524510"/>
                              </a:xfrm>
                              <a:prstGeom prst="line">
                                <a:avLst/>
                              </a:prstGeom>
                              <a:noFill/>
                              <a:ln w="9525">
                                <a:solidFill>
                                  <a:srgbClr val="A5A5A5"/>
                                </a:solidFill>
                                <a:round/>
                              </a:ln>
                            </wps:spPr>
                            <wps:bodyPr/>
                          </wps:wsp>
                        </a:graphicData>
                      </a:graphic>
                    </wp:anchor>
                  </w:drawing>
                </mc:Choice>
                <mc:Fallback>
                  <w:pict>
                    <v:line id="_x0000_s1026" o:spid="_x0000_s1026" o:spt="20" style="position:absolute;left:0pt;margin-left:-4.45pt;margin-top:0.1pt;height:41.3pt;width:105.95pt;z-index:251660288;mso-width-relative:page;mso-height-relative:page;" filled="f" stroked="t" coordsize="21600,21600" o:gfxdata="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SDQEPU&#10;AAAABgEAAA8AAAAAAAAAAQAgAAAAIgAAAGRycy9kb3ducmV2LnhtbFBLAQIUABQAAAAIAIdO4kCz&#10;/S9G6wEAAK8DAAAOAAAAAAAAAAEAIAAAACMBAABkcnMvZTJvRG9jLnhtbFBLBQYAAAAABgAGAFkB&#10;AACABQAAAAA=&#10;">
                      <v:fill on="f" focussize="0,0"/>
                      <v:stroke color="#A5A5A5" joinstyle="round"/>
                      <v:imagedata o:title=""/>
                      <o:lock v:ext="edit" aspectratio="f"/>
                    </v:line>
                  </w:pict>
                </mc:Fallback>
              </mc:AlternateContent>
            </w:r>
            <w:r>
              <w:rPr>
                <w:rFonts w:ascii="仿宋" w:hAnsi="仿宋" w:eastAsia="仿宋"/>
                <w:b/>
                <w:sz w:val="20"/>
                <w:szCs w:val="20"/>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1270</wp:posOffset>
                      </wp:positionV>
                      <wp:extent cx="612775" cy="895985"/>
                      <wp:effectExtent l="0" t="0" r="34925"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775" cy="896293"/>
                              </a:xfrm>
                              <a:prstGeom prst="line">
                                <a:avLst/>
                              </a:prstGeom>
                              <a:noFill/>
                              <a:ln w="9525">
                                <a:solidFill>
                                  <a:srgbClr val="A5A5A5"/>
                                </a:solidFill>
                                <a:round/>
                              </a:ln>
                            </wps:spPr>
                            <wps:bodyPr/>
                          </wps:wsp>
                        </a:graphicData>
                      </a:graphic>
                    </wp:anchor>
                  </w:drawing>
                </mc:Choice>
                <mc:Fallback>
                  <w:pict>
                    <v:line id="_x0000_s1026" o:spid="_x0000_s1026" o:spt="20" style="position:absolute;left:0pt;margin-left:-5.15pt;margin-top:0.1pt;height:70.55pt;width:48.25pt;z-index:251661312;mso-width-relative:page;mso-height-relative:page;" filled="f" stroked="t" coordsize="21600,21600" o:gfxdata="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2okPB&#10;1QAAAAcBAAAPAAAAAAAAAAEAIAAAACIAAABkcnMvZG93bnJldi54bWxQSwECFAAUAAAACACHTuJA&#10;lelBsesBAACuAwAADgAAAAAAAAABACAAAAAkAQAAZHJzL2Uyb0RvYy54bWxQSwUGAAAAAAYABgBZ&#10;AQAAgQUAAAAA&#10;">
                      <v:fill on="f" focussize="0,0"/>
                      <v:stroke color="#A5A5A5" joinstyle="round"/>
                      <v:imagedata o:title=""/>
                      <o:lock v:ext="edit" aspectratio="f"/>
                    </v:line>
                  </w:pict>
                </mc:Fallback>
              </mc:AlternateContent>
            </w:r>
            <w:r>
              <w:rPr>
                <w:rFonts w:hint="eastAsia" w:ascii="仿宋" w:hAnsi="仿宋" w:eastAsia="仿宋"/>
                <w:b/>
                <w:sz w:val="20"/>
                <w:szCs w:val="20"/>
              </w:rPr>
              <w:t>项  目</w:t>
            </w:r>
          </w:p>
          <w:p>
            <w:pPr>
              <w:spacing w:line="360" w:lineRule="auto"/>
              <w:ind w:firstLine="602" w:firstLineChars="300"/>
              <w:rPr>
                <w:rFonts w:ascii="仿宋" w:hAnsi="仿宋" w:eastAsia="仿宋"/>
                <w:b/>
                <w:sz w:val="20"/>
                <w:szCs w:val="20"/>
              </w:rPr>
            </w:pPr>
            <w:r>
              <w:rPr>
                <w:rFonts w:hint="eastAsia" w:ascii="仿宋" w:hAnsi="仿宋" w:eastAsia="仿宋"/>
                <w:b/>
                <w:sz w:val="20"/>
                <w:szCs w:val="20"/>
              </w:rPr>
              <w:t>周</w:t>
            </w:r>
          </w:p>
          <w:p>
            <w:pPr>
              <w:spacing w:line="360" w:lineRule="auto"/>
              <w:ind w:firstLine="50" w:firstLineChars="25"/>
              <w:rPr>
                <w:rFonts w:ascii="仿宋" w:hAnsi="仿宋" w:eastAsia="仿宋"/>
                <w:b/>
                <w:sz w:val="20"/>
                <w:szCs w:val="20"/>
              </w:rPr>
            </w:pPr>
            <w:r>
              <w:rPr>
                <w:rFonts w:hint="eastAsia" w:ascii="仿宋" w:hAnsi="仿宋" w:eastAsia="仿宋"/>
                <w:b/>
                <w:sz w:val="20"/>
                <w:szCs w:val="20"/>
              </w:rPr>
              <w:t>学 期      数</w:t>
            </w:r>
          </w:p>
        </w:tc>
        <w:tc>
          <w:tcPr>
            <w:tcW w:w="2729" w:type="dxa"/>
            <w:gridSpan w:val="3"/>
            <w:vAlign w:val="center"/>
          </w:tcPr>
          <w:p>
            <w:pPr>
              <w:spacing w:line="360" w:lineRule="auto"/>
              <w:jc w:val="center"/>
              <w:rPr>
                <w:rFonts w:ascii="仿宋" w:hAnsi="仿宋" w:eastAsia="仿宋"/>
                <w:b/>
                <w:sz w:val="20"/>
                <w:szCs w:val="20"/>
              </w:rPr>
            </w:pPr>
            <w:r>
              <w:rPr>
                <w:rFonts w:hint="eastAsia" w:ascii="仿宋" w:hAnsi="仿宋" w:eastAsia="仿宋"/>
                <w:b/>
                <w:sz w:val="20"/>
                <w:szCs w:val="20"/>
              </w:rPr>
              <w:t>授课环节</w:t>
            </w:r>
          </w:p>
        </w:tc>
        <w:tc>
          <w:tcPr>
            <w:tcW w:w="2765" w:type="dxa"/>
            <w:gridSpan w:val="3"/>
            <w:vAlign w:val="center"/>
          </w:tcPr>
          <w:p>
            <w:pPr>
              <w:spacing w:line="360" w:lineRule="auto"/>
              <w:jc w:val="center"/>
              <w:rPr>
                <w:rFonts w:ascii="仿宋" w:hAnsi="仿宋" w:eastAsia="仿宋"/>
                <w:b/>
                <w:sz w:val="20"/>
                <w:szCs w:val="20"/>
              </w:rPr>
            </w:pPr>
            <w:r>
              <w:rPr>
                <w:rFonts w:hint="eastAsia" w:ascii="仿宋" w:hAnsi="仿宋" w:eastAsia="仿宋"/>
                <w:b/>
                <w:sz w:val="20"/>
                <w:szCs w:val="20"/>
              </w:rPr>
              <w:t>其他环节</w:t>
            </w:r>
          </w:p>
        </w:tc>
        <w:tc>
          <w:tcPr>
            <w:tcW w:w="852" w:type="dxa"/>
            <w:vMerge w:val="restart"/>
            <w:vAlign w:val="center"/>
          </w:tcPr>
          <w:p>
            <w:pPr>
              <w:spacing w:line="360" w:lineRule="auto"/>
              <w:jc w:val="center"/>
              <w:rPr>
                <w:rFonts w:ascii="仿宋" w:hAnsi="仿宋" w:eastAsia="仿宋"/>
                <w:b/>
                <w:sz w:val="20"/>
                <w:szCs w:val="20"/>
              </w:rPr>
            </w:pPr>
            <w:r>
              <w:rPr>
                <w:rFonts w:hint="eastAsia" w:ascii="仿宋" w:hAnsi="仿宋" w:eastAsia="仿宋"/>
                <w:b/>
                <w:sz w:val="20"/>
                <w:szCs w:val="20"/>
              </w:rPr>
              <w:t>社会</w:t>
            </w:r>
          </w:p>
          <w:p>
            <w:pPr>
              <w:spacing w:line="360" w:lineRule="auto"/>
              <w:jc w:val="center"/>
              <w:rPr>
                <w:rFonts w:ascii="仿宋" w:hAnsi="仿宋" w:eastAsia="仿宋"/>
                <w:b/>
                <w:sz w:val="20"/>
                <w:szCs w:val="20"/>
              </w:rPr>
            </w:pPr>
            <w:r>
              <w:rPr>
                <w:rFonts w:hint="eastAsia" w:ascii="仿宋" w:hAnsi="仿宋" w:eastAsia="仿宋"/>
                <w:b/>
                <w:sz w:val="20"/>
                <w:szCs w:val="20"/>
              </w:rPr>
              <w:t>实践</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735" w:hRule="atLeast"/>
          <w:jc w:val="center"/>
        </w:trPr>
        <w:tc>
          <w:tcPr>
            <w:tcW w:w="2176" w:type="dxa"/>
            <w:vMerge w:val="continue"/>
          </w:tcPr>
          <w:p>
            <w:pPr>
              <w:spacing w:line="360" w:lineRule="auto"/>
              <w:ind w:firstLine="1000" w:firstLineChars="500"/>
              <w:rPr>
                <w:rFonts w:ascii="仿宋" w:hAnsi="仿宋" w:eastAsia="仿宋"/>
                <w:sz w:val="20"/>
                <w:szCs w:val="20"/>
              </w:rPr>
            </w:pPr>
          </w:p>
        </w:tc>
        <w:tc>
          <w:tcPr>
            <w:tcW w:w="918" w:type="dxa"/>
            <w:vAlign w:val="center"/>
          </w:tcPr>
          <w:p>
            <w:pPr>
              <w:spacing w:line="360" w:lineRule="auto"/>
              <w:jc w:val="center"/>
              <w:rPr>
                <w:rFonts w:ascii="仿宋" w:hAnsi="仿宋" w:eastAsia="仿宋"/>
                <w:b/>
                <w:sz w:val="20"/>
                <w:szCs w:val="20"/>
              </w:rPr>
            </w:pPr>
            <w:r>
              <w:rPr>
                <w:rFonts w:ascii="仿宋" w:hAnsi="仿宋" w:eastAsia="仿宋"/>
                <w:b/>
                <w:sz w:val="20"/>
                <w:szCs w:val="20"/>
              </w:rPr>
              <w:t>总</w:t>
            </w:r>
            <w:r>
              <w:rPr>
                <w:rFonts w:hint="eastAsia" w:ascii="仿宋" w:hAnsi="仿宋" w:eastAsia="仿宋"/>
                <w:b/>
                <w:sz w:val="20"/>
                <w:szCs w:val="20"/>
              </w:rPr>
              <w:t>教学周数</w:t>
            </w:r>
          </w:p>
        </w:tc>
        <w:tc>
          <w:tcPr>
            <w:tcW w:w="793" w:type="dxa"/>
            <w:vAlign w:val="center"/>
          </w:tcPr>
          <w:p>
            <w:pPr>
              <w:spacing w:line="360" w:lineRule="auto"/>
              <w:jc w:val="center"/>
              <w:rPr>
                <w:rFonts w:ascii="仿宋" w:hAnsi="仿宋" w:eastAsia="仿宋"/>
                <w:b/>
                <w:sz w:val="20"/>
                <w:szCs w:val="20"/>
              </w:rPr>
            </w:pPr>
            <w:r>
              <w:rPr>
                <w:rFonts w:hint="eastAsia" w:ascii="仿宋" w:hAnsi="仿宋" w:eastAsia="仿宋"/>
                <w:b/>
                <w:sz w:val="20"/>
                <w:szCs w:val="20"/>
              </w:rPr>
              <w:t>课内教学</w:t>
            </w:r>
          </w:p>
        </w:tc>
        <w:tc>
          <w:tcPr>
            <w:tcW w:w="1018" w:type="dxa"/>
            <w:vAlign w:val="center"/>
          </w:tcPr>
          <w:p>
            <w:pPr>
              <w:spacing w:line="360" w:lineRule="auto"/>
              <w:jc w:val="center"/>
              <w:rPr>
                <w:rFonts w:ascii="仿宋" w:hAnsi="仿宋" w:eastAsia="仿宋"/>
                <w:b/>
                <w:sz w:val="20"/>
                <w:szCs w:val="20"/>
              </w:rPr>
            </w:pPr>
            <w:r>
              <w:rPr>
                <w:rFonts w:hint="eastAsia" w:ascii="仿宋" w:hAnsi="仿宋" w:eastAsia="仿宋"/>
                <w:b/>
                <w:sz w:val="20"/>
                <w:szCs w:val="20"/>
              </w:rPr>
              <w:t>集中实践教学</w:t>
            </w:r>
          </w:p>
        </w:tc>
        <w:tc>
          <w:tcPr>
            <w:tcW w:w="711" w:type="dxa"/>
            <w:vAlign w:val="center"/>
          </w:tcPr>
          <w:p>
            <w:pPr>
              <w:spacing w:line="360" w:lineRule="auto"/>
              <w:jc w:val="center"/>
              <w:rPr>
                <w:rFonts w:ascii="仿宋" w:hAnsi="仿宋" w:eastAsia="仿宋"/>
                <w:b/>
                <w:sz w:val="20"/>
                <w:szCs w:val="20"/>
              </w:rPr>
            </w:pPr>
            <w:r>
              <w:rPr>
                <w:rFonts w:hint="eastAsia" w:ascii="仿宋" w:hAnsi="仿宋" w:eastAsia="仿宋"/>
                <w:b/>
                <w:sz w:val="20"/>
                <w:szCs w:val="20"/>
              </w:rPr>
              <w:t>复习考试</w:t>
            </w:r>
          </w:p>
        </w:tc>
        <w:tc>
          <w:tcPr>
            <w:tcW w:w="1096" w:type="dxa"/>
            <w:vAlign w:val="center"/>
          </w:tcPr>
          <w:p>
            <w:pPr>
              <w:spacing w:line="360" w:lineRule="auto"/>
              <w:jc w:val="center"/>
              <w:rPr>
                <w:rFonts w:ascii="仿宋" w:hAnsi="仿宋" w:eastAsia="仿宋"/>
                <w:b/>
                <w:sz w:val="20"/>
                <w:szCs w:val="20"/>
              </w:rPr>
            </w:pPr>
            <w:r>
              <w:rPr>
                <w:rFonts w:hint="eastAsia" w:ascii="仿宋" w:hAnsi="仿宋" w:eastAsia="仿宋"/>
                <w:b/>
                <w:sz w:val="20"/>
                <w:szCs w:val="20"/>
              </w:rPr>
              <w:t>入学毕业教育</w:t>
            </w:r>
          </w:p>
        </w:tc>
        <w:tc>
          <w:tcPr>
            <w:tcW w:w="958" w:type="dxa"/>
            <w:vAlign w:val="center"/>
          </w:tcPr>
          <w:p>
            <w:pPr>
              <w:spacing w:line="360" w:lineRule="auto"/>
              <w:jc w:val="center"/>
              <w:rPr>
                <w:rFonts w:ascii="仿宋" w:hAnsi="仿宋" w:eastAsia="仿宋"/>
                <w:b/>
                <w:sz w:val="20"/>
                <w:szCs w:val="20"/>
              </w:rPr>
            </w:pPr>
            <w:r>
              <w:rPr>
                <w:rFonts w:hint="eastAsia" w:ascii="仿宋" w:hAnsi="仿宋" w:eastAsia="仿宋"/>
                <w:b/>
                <w:sz w:val="20"/>
                <w:szCs w:val="20"/>
              </w:rPr>
              <w:t>军训/机动</w:t>
            </w:r>
          </w:p>
        </w:tc>
        <w:tc>
          <w:tcPr>
            <w:tcW w:w="852" w:type="dxa"/>
            <w:vMerge w:val="continue"/>
            <w:vAlign w:val="center"/>
          </w:tcPr>
          <w:p>
            <w:pPr>
              <w:spacing w:line="360" w:lineRule="auto"/>
              <w:jc w:val="center"/>
              <w:rPr>
                <w:rFonts w:ascii="仿宋" w:hAnsi="仿宋" w:eastAsia="仿宋"/>
                <w:sz w:val="20"/>
                <w:szCs w:val="20"/>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jc w:val="center"/>
        </w:trPr>
        <w:tc>
          <w:tcPr>
            <w:tcW w:w="2176" w:type="dxa"/>
          </w:tcPr>
          <w:p>
            <w:pPr>
              <w:spacing w:line="360" w:lineRule="auto"/>
              <w:jc w:val="center"/>
              <w:rPr>
                <w:rFonts w:ascii="仿宋" w:hAnsi="仿宋" w:eastAsia="仿宋"/>
                <w:sz w:val="20"/>
                <w:szCs w:val="20"/>
              </w:rPr>
            </w:pPr>
            <w:r>
              <w:rPr>
                <w:rFonts w:hint="eastAsia" w:ascii="仿宋" w:hAnsi="仿宋" w:eastAsia="仿宋"/>
                <w:sz w:val="20"/>
                <w:szCs w:val="20"/>
              </w:rPr>
              <w:t>一</w:t>
            </w:r>
          </w:p>
        </w:tc>
        <w:tc>
          <w:tcPr>
            <w:tcW w:w="918" w:type="dxa"/>
          </w:tcPr>
          <w:p>
            <w:pPr>
              <w:jc w:val="center"/>
              <w:rPr>
                <w:rFonts w:ascii="仿宋" w:hAnsi="仿宋" w:eastAsia="仿宋" w:cs="仿宋"/>
                <w:sz w:val="20"/>
                <w:szCs w:val="20"/>
              </w:rPr>
            </w:pPr>
            <w:r>
              <w:rPr>
                <w:rFonts w:hint="eastAsia" w:ascii="仿宋" w:hAnsi="仿宋" w:eastAsia="仿宋" w:cs="仿宋"/>
                <w:color w:val="000000"/>
                <w:sz w:val="20"/>
                <w:szCs w:val="20"/>
              </w:rPr>
              <w:t>20</w:t>
            </w:r>
          </w:p>
        </w:tc>
        <w:tc>
          <w:tcPr>
            <w:tcW w:w="793"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16</w:t>
            </w:r>
          </w:p>
        </w:tc>
        <w:tc>
          <w:tcPr>
            <w:tcW w:w="1018"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0</w:t>
            </w:r>
          </w:p>
        </w:tc>
        <w:tc>
          <w:tcPr>
            <w:tcW w:w="711"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1</w:t>
            </w:r>
          </w:p>
        </w:tc>
        <w:tc>
          <w:tcPr>
            <w:tcW w:w="1096"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1</w:t>
            </w:r>
          </w:p>
        </w:tc>
        <w:tc>
          <w:tcPr>
            <w:tcW w:w="958"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2</w:t>
            </w:r>
          </w:p>
        </w:tc>
        <w:tc>
          <w:tcPr>
            <w:tcW w:w="852"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0</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jc w:val="center"/>
        </w:trPr>
        <w:tc>
          <w:tcPr>
            <w:tcW w:w="2176" w:type="dxa"/>
          </w:tcPr>
          <w:p>
            <w:pPr>
              <w:spacing w:line="360" w:lineRule="auto"/>
              <w:jc w:val="center"/>
              <w:rPr>
                <w:rFonts w:ascii="仿宋" w:hAnsi="仿宋" w:eastAsia="仿宋"/>
                <w:sz w:val="20"/>
                <w:szCs w:val="20"/>
              </w:rPr>
            </w:pPr>
            <w:r>
              <w:rPr>
                <w:rFonts w:hint="eastAsia" w:ascii="仿宋" w:hAnsi="仿宋" w:eastAsia="仿宋"/>
                <w:sz w:val="20"/>
                <w:szCs w:val="20"/>
              </w:rPr>
              <w:t>二</w:t>
            </w:r>
          </w:p>
        </w:tc>
        <w:tc>
          <w:tcPr>
            <w:tcW w:w="918" w:type="dxa"/>
          </w:tcPr>
          <w:p>
            <w:pPr>
              <w:jc w:val="center"/>
              <w:rPr>
                <w:rFonts w:ascii="仿宋" w:hAnsi="仿宋" w:eastAsia="仿宋" w:cs="仿宋"/>
                <w:sz w:val="20"/>
                <w:szCs w:val="20"/>
              </w:rPr>
            </w:pPr>
            <w:r>
              <w:rPr>
                <w:rFonts w:hint="eastAsia" w:ascii="仿宋" w:hAnsi="仿宋" w:eastAsia="仿宋" w:cs="仿宋"/>
                <w:color w:val="000000"/>
                <w:sz w:val="20"/>
                <w:szCs w:val="20"/>
              </w:rPr>
              <w:t>20</w:t>
            </w:r>
          </w:p>
        </w:tc>
        <w:tc>
          <w:tcPr>
            <w:tcW w:w="793"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16</w:t>
            </w:r>
          </w:p>
        </w:tc>
        <w:tc>
          <w:tcPr>
            <w:tcW w:w="1018"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0</w:t>
            </w:r>
          </w:p>
        </w:tc>
        <w:tc>
          <w:tcPr>
            <w:tcW w:w="711"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1</w:t>
            </w:r>
          </w:p>
        </w:tc>
        <w:tc>
          <w:tcPr>
            <w:tcW w:w="1096" w:type="dxa"/>
          </w:tcPr>
          <w:p>
            <w:pPr>
              <w:jc w:val="center"/>
              <w:rPr>
                <w:rFonts w:ascii="仿宋" w:hAnsi="仿宋" w:eastAsia="仿宋" w:cs="仿宋"/>
                <w:sz w:val="20"/>
                <w:szCs w:val="20"/>
              </w:rPr>
            </w:pPr>
            <w:r>
              <w:rPr>
                <w:rFonts w:hint="eastAsia" w:ascii="仿宋" w:hAnsi="仿宋" w:eastAsia="仿宋" w:cs="仿宋"/>
                <w:color w:val="000000"/>
                <w:sz w:val="20"/>
                <w:szCs w:val="20"/>
              </w:rPr>
              <w:t>0</w:t>
            </w:r>
          </w:p>
        </w:tc>
        <w:tc>
          <w:tcPr>
            <w:tcW w:w="958"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1</w:t>
            </w:r>
          </w:p>
        </w:tc>
        <w:tc>
          <w:tcPr>
            <w:tcW w:w="852"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0</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jc w:val="center"/>
        </w:trPr>
        <w:tc>
          <w:tcPr>
            <w:tcW w:w="2176" w:type="dxa"/>
          </w:tcPr>
          <w:p>
            <w:pPr>
              <w:spacing w:line="360" w:lineRule="auto"/>
              <w:jc w:val="center"/>
              <w:rPr>
                <w:rFonts w:ascii="仿宋" w:hAnsi="仿宋" w:eastAsia="仿宋"/>
                <w:sz w:val="20"/>
                <w:szCs w:val="20"/>
              </w:rPr>
            </w:pPr>
            <w:r>
              <w:rPr>
                <w:rFonts w:hint="eastAsia" w:ascii="仿宋" w:hAnsi="仿宋" w:eastAsia="仿宋"/>
                <w:sz w:val="20"/>
                <w:szCs w:val="20"/>
              </w:rPr>
              <w:t>三</w:t>
            </w:r>
          </w:p>
        </w:tc>
        <w:tc>
          <w:tcPr>
            <w:tcW w:w="918" w:type="dxa"/>
          </w:tcPr>
          <w:p>
            <w:pPr>
              <w:jc w:val="center"/>
              <w:rPr>
                <w:rFonts w:ascii="仿宋" w:hAnsi="仿宋" w:eastAsia="仿宋" w:cs="仿宋"/>
                <w:sz w:val="20"/>
                <w:szCs w:val="20"/>
              </w:rPr>
            </w:pPr>
            <w:r>
              <w:rPr>
                <w:rFonts w:hint="eastAsia" w:ascii="仿宋" w:hAnsi="仿宋" w:eastAsia="仿宋" w:cs="仿宋"/>
                <w:color w:val="000000"/>
                <w:sz w:val="20"/>
                <w:szCs w:val="20"/>
              </w:rPr>
              <w:t>20</w:t>
            </w:r>
          </w:p>
        </w:tc>
        <w:tc>
          <w:tcPr>
            <w:tcW w:w="793"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18</w:t>
            </w:r>
          </w:p>
        </w:tc>
        <w:tc>
          <w:tcPr>
            <w:tcW w:w="1018"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0</w:t>
            </w:r>
          </w:p>
        </w:tc>
        <w:tc>
          <w:tcPr>
            <w:tcW w:w="711"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1</w:t>
            </w:r>
          </w:p>
        </w:tc>
        <w:tc>
          <w:tcPr>
            <w:tcW w:w="1096" w:type="dxa"/>
          </w:tcPr>
          <w:p>
            <w:pPr>
              <w:jc w:val="center"/>
              <w:rPr>
                <w:rFonts w:ascii="仿宋" w:hAnsi="仿宋" w:eastAsia="仿宋" w:cs="仿宋"/>
                <w:sz w:val="20"/>
                <w:szCs w:val="20"/>
              </w:rPr>
            </w:pPr>
            <w:r>
              <w:rPr>
                <w:rFonts w:hint="eastAsia" w:ascii="仿宋" w:hAnsi="仿宋" w:eastAsia="仿宋" w:cs="仿宋"/>
                <w:color w:val="000000"/>
                <w:sz w:val="20"/>
                <w:szCs w:val="20"/>
              </w:rPr>
              <w:t>0</w:t>
            </w:r>
          </w:p>
        </w:tc>
        <w:tc>
          <w:tcPr>
            <w:tcW w:w="958"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1</w:t>
            </w:r>
          </w:p>
        </w:tc>
        <w:tc>
          <w:tcPr>
            <w:tcW w:w="852"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0</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jc w:val="center"/>
        </w:trPr>
        <w:tc>
          <w:tcPr>
            <w:tcW w:w="2176" w:type="dxa"/>
          </w:tcPr>
          <w:p>
            <w:pPr>
              <w:spacing w:line="360" w:lineRule="auto"/>
              <w:jc w:val="center"/>
              <w:rPr>
                <w:rFonts w:ascii="仿宋" w:hAnsi="仿宋" w:eastAsia="仿宋"/>
                <w:sz w:val="20"/>
                <w:szCs w:val="20"/>
              </w:rPr>
            </w:pPr>
            <w:r>
              <w:rPr>
                <w:rFonts w:hint="eastAsia" w:ascii="仿宋" w:hAnsi="仿宋" w:eastAsia="仿宋"/>
                <w:sz w:val="20"/>
                <w:szCs w:val="20"/>
              </w:rPr>
              <w:t>四</w:t>
            </w:r>
          </w:p>
        </w:tc>
        <w:tc>
          <w:tcPr>
            <w:tcW w:w="918" w:type="dxa"/>
          </w:tcPr>
          <w:p>
            <w:pPr>
              <w:jc w:val="center"/>
              <w:rPr>
                <w:rFonts w:ascii="仿宋" w:hAnsi="仿宋" w:eastAsia="仿宋" w:cs="仿宋"/>
                <w:sz w:val="20"/>
                <w:szCs w:val="20"/>
              </w:rPr>
            </w:pPr>
            <w:r>
              <w:rPr>
                <w:rFonts w:hint="eastAsia" w:ascii="仿宋" w:hAnsi="仿宋" w:eastAsia="仿宋" w:cs="仿宋"/>
                <w:color w:val="000000"/>
                <w:sz w:val="20"/>
                <w:szCs w:val="20"/>
              </w:rPr>
              <w:t>20</w:t>
            </w:r>
          </w:p>
        </w:tc>
        <w:tc>
          <w:tcPr>
            <w:tcW w:w="793"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17</w:t>
            </w:r>
          </w:p>
        </w:tc>
        <w:tc>
          <w:tcPr>
            <w:tcW w:w="1018"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0</w:t>
            </w:r>
          </w:p>
        </w:tc>
        <w:tc>
          <w:tcPr>
            <w:tcW w:w="711"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1</w:t>
            </w:r>
          </w:p>
        </w:tc>
        <w:tc>
          <w:tcPr>
            <w:tcW w:w="1096" w:type="dxa"/>
          </w:tcPr>
          <w:p>
            <w:pPr>
              <w:jc w:val="center"/>
              <w:rPr>
                <w:rFonts w:ascii="仿宋" w:hAnsi="仿宋" w:eastAsia="仿宋" w:cs="仿宋"/>
                <w:sz w:val="20"/>
                <w:szCs w:val="20"/>
              </w:rPr>
            </w:pPr>
            <w:r>
              <w:rPr>
                <w:rFonts w:hint="eastAsia" w:ascii="仿宋" w:hAnsi="仿宋" w:eastAsia="仿宋" w:cs="仿宋"/>
                <w:color w:val="000000"/>
                <w:sz w:val="20"/>
                <w:szCs w:val="20"/>
              </w:rPr>
              <w:t>0</w:t>
            </w:r>
          </w:p>
        </w:tc>
        <w:tc>
          <w:tcPr>
            <w:tcW w:w="958"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1</w:t>
            </w:r>
          </w:p>
        </w:tc>
        <w:tc>
          <w:tcPr>
            <w:tcW w:w="852"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0</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jc w:val="center"/>
        </w:trPr>
        <w:tc>
          <w:tcPr>
            <w:tcW w:w="2176" w:type="dxa"/>
          </w:tcPr>
          <w:p>
            <w:pPr>
              <w:spacing w:line="360" w:lineRule="auto"/>
              <w:jc w:val="center"/>
              <w:rPr>
                <w:rFonts w:ascii="仿宋" w:hAnsi="仿宋" w:eastAsia="仿宋"/>
                <w:sz w:val="20"/>
                <w:szCs w:val="20"/>
              </w:rPr>
            </w:pPr>
            <w:r>
              <w:rPr>
                <w:rFonts w:hint="eastAsia" w:ascii="仿宋" w:hAnsi="仿宋" w:eastAsia="仿宋"/>
                <w:sz w:val="20"/>
                <w:szCs w:val="20"/>
              </w:rPr>
              <w:t>五</w:t>
            </w:r>
          </w:p>
        </w:tc>
        <w:tc>
          <w:tcPr>
            <w:tcW w:w="918" w:type="dxa"/>
          </w:tcPr>
          <w:p>
            <w:pPr>
              <w:jc w:val="center"/>
              <w:rPr>
                <w:rFonts w:ascii="仿宋" w:hAnsi="仿宋" w:eastAsia="仿宋" w:cs="仿宋"/>
                <w:sz w:val="20"/>
                <w:szCs w:val="20"/>
              </w:rPr>
            </w:pPr>
            <w:r>
              <w:rPr>
                <w:rFonts w:hint="eastAsia" w:ascii="仿宋" w:hAnsi="仿宋" w:eastAsia="仿宋" w:cs="仿宋"/>
                <w:color w:val="000000"/>
                <w:sz w:val="20"/>
                <w:szCs w:val="20"/>
              </w:rPr>
              <w:t>21</w:t>
            </w:r>
          </w:p>
        </w:tc>
        <w:tc>
          <w:tcPr>
            <w:tcW w:w="793"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0</w:t>
            </w:r>
          </w:p>
        </w:tc>
        <w:tc>
          <w:tcPr>
            <w:tcW w:w="1018"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18</w:t>
            </w:r>
          </w:p>
        </w:tc>
        <w:tc>
          <w:tcPr>
            <w:tcW w:w="711"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0</w:t>
            </w:r>
          </w:p>
        </w:tc>
        <w:tc>
          <w:tcPr>
            <w:tcW w:w="1096" w:type="dxa"/>
          </w:tcPr>
          <w:p>
            <w:pPr>
              <w:jc w:val="center"/>
              <w:rPr>
                <w:rFonts w:ascii="仿宋" w:hAnsi="仿宋" w:eastAsia="仿宋" w:cs="仿宋"/>
                <w:sz w:val="20"/>
                <w:szCs w:val="20"/>
              </w:rPr>
            </w:pPr>
            <w:r>
              <w:rPr>
                <w:rFonts w:hint="eastAsia" w:ascii="仿宋" w:hAnsi="仿宋" w:eastAsia="仿宋" w:cs="仿宋"/>
                <w:color w:val="000000"/>
                <w:sz w:val="20"/>
                <w:szCs w:val="20"/>
              </w:rPr>
              <w:t>0</w:t>
            </w:r>
          </w:p>
        </w:tc>
        <w:tc>
          <w:tcPr>
            <w:tcW w:w="958"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0</w:t>
            </w:r>
          </w:p>
        </w:tc>
        <w:tc>
          <w:tcPr>
            <w:tcW w:w="852"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0</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jc w:val="center"/>
        </w:trPr>
        <w:tc>
          <w:tcPr>
            <w:tcW w:w="2176" w:type="dxa"/>
          </w:tcPr>
          <w:p>
            <w:pPr>
              <w:spacing w:line="360" w:lineRule="auto"/>
              <w:jc w:val="center"/>
              <w:rPr>
                <w:rFonts w:ascii="仿宋" w:hAnsi="仿宋" w:eastAsia="仿宋"/>
                <w:sz w:val="20"/>
                <w:szCs w:val="20"/>
              </w:rPr>
            </w:pPr>
            <w:r>
              <w:rPr>
                <w:rFonts w:hint="eastAsia" w:ascii="仿宋" w:hAnsi="仿宋" w:eastAsia="仿宋"/>
                <w:sz w:val="20"/>
                <w:szCs w:val="20"/>
              </w:rPr>
              <w:t>六</w:t>
            </w:r>
          </w:p>
        </w:tc>
        <w:tc>
          <w:tcPr>
            <w:tcW w:w="918" w:type="dxa"/>
          </w:tcPr>
          <w:p>
            <w:pPr>
              <w:jc w:val="center"/>
              <w:rPr>
                <w:rFonts w:ascii="仿宋" w:hAnsi="仿宋" w:eastAsia="仿宋" w:cs="仿宋"/>
                <w:sz w:val="20"/>
                <w:szCs w:val="20"/>
              </w:rPr>
            </w:pPr>
            <w:r>
              <w:rPr>
                <w:rFonts w:hint="eastAsia" w:ascii="仿宋" w:hAnsi="仿宋" w:eastAsia="仿宋" w:cs="仿宋"/>
                <w:color w:val="000000"/>
                <w:sz w:val="20"/>
                <w:szCs w:val="20"/>
              </w:rPr>
              <w:t>19</w:t>
            </w:r>
          </w:p>
        </w:tc>
        <w:tc>
          <w:tcPr>
            <w:tcW w:w="793"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0</w:t>
            </w:r>
          </w:p>
        </w:tc>
        <w:tc>
          <w:tcPr>
            <w:tcW w:w="1018"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18</w:t>
            </w:r>
          </w:p>
        </w:tc>
        <w:tc>
          <w:tcPr>
            <w:tcW w:w="711"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0</w:t>
            </w:r>
          </w:p>
        </w:tc>
        <w:tc>
          <w:tcPr>
            <w:tcW w:w="1096"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1</w:t>
            </w:r>
          </w:p>
        </w:tc>
        <w:tc>
          <w:tcPr>
            <w:tcW w:w="958"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0</w:t>
            </w:r>
          </w:p>
        </w:tc>
        <w:tc>
          <w:tcPr>
            <w:tcW w:w="852"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0</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jc w:val="center"/>
        </w:trPr>
        <w:tc>
          <w:tcPr>
            <w:tcW w:w="2176" w:type="dxa"/>
          </w:tcPr>
          <w:p>
            <w:pPr>
              <w:spacing w:line="360" w:lineRule="auto"/>
              <w:jc w:val="center"/>
              <w:rPr>
                <w:rFonts w:ascii="仿宋" w:hAnsi="仿宋" w:eastAsia="仿宋"/>
                <w:sz w:val="20"/>
                <w:szCs w:val="20"/>
              </w:rPr>
            </w:pPr>
            <w:r>
              <w:rPr>
                <w:rFonts w:hint="eastAsia" w:ascii="仿宋" w:hAnsi="仿宋" w:eastAsia="仿宋"/>
                <w:sz w:val="20"/>
                <w:szCs w:val="20"/>
              </w:rPr>
              <w:t>总计</w:t>
            </w:r>
          </w:p>
        </w:tc>
        <w:tc>
          <w:tcPr>
            <w:tcW w:w="918" w:type="dxa"/>
          </w:tcPr>
          <w:p>
            <w:pPr>
              <w:jc w:val="center"/>
              <w:rPr>
                <w:rFonts w:ascii="仿宋" w:hAnsi="仿宋" w:eastAsia="仿宋" w:cs="仿宋"/>
                <w:sz w:val="20"/>
                <w:szCs w:val="20"/>
              </w:rPr>
            </w:pPr>
            <w:r>
              <w:rPr>
                <w:rFonts w:hint="eastAsia" w:ascii="仿宋" w:hAnsi="仿宋" w:eastAsia="仿宋" w:cs="仿宋"/>
                <w:color w:val="000000"/>
                <w:sz w:val="20"/>
                <w:szCs w:val="20"/>
              </w:rPr>
              <w:t>120</w:t>
            </w:r>
          </w:p>
        </w:tc>
        <w:tc>
          <w:tcPr>
            <w:tcW w:w="793"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67</w:t>
            </w:r>
          </w:p>
        </w:tc>
        <w:tc>
          <w:tcPr>
            <w:tcW w:w="1018"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36</w:t>
            </w:r>
          </w:p>
        </w:tc>
        <w:tc>
          <w:tcPr>
            <w:tcW w:w="711"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4</w:t>
            </w:r>
          </w:p>
        </w:tc>
        <w:tc>
          <w:tcPr>
            <w:tcW w:w="1096"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2</w:t>
            </w:r>
          </w:p>
        </w:tc>
        <w:tc>
          <w:tcPr>
            <w:tcW w:w="958"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5</w:t>
            </w:r>
          </w:p>
        </w:tc>
        <w:tc>
          <w:tcPr>
            <w:tcW w:w="852" w:type="dxa"/>
            <w:vAlign w:val="center"/>
          </w:tcPr>
          <w:p>
            <w:pPr>
              <w:jc w:val="center"/>
              <w:rPr>
                <w:rFonts w:ascii="仿宋" w:hAnsi="仿宋" w:eastAsia="仿宋" w:cs="仿宋"/>
                <w:sz w:val="20"/>
                <w:szCs w:val="20"/>
              </w:rPr>
            </w:pPr>
            <w:r>
              <w:rPr>
                <w:rFonts w:hint="eastAsia" w:ascii="仿宋" w:hAnsi="仿宋" w:eastAsia="仿宋" w:cs="仿宋"/>
                <w:color w:val="000000"/>
                <w:sz w:val="20"/>
                <w:szCs w:val="20"/>
              </w:rPr>
              <w:t>0</w:t>
            </w:r>
          </w:p>
        </w:tc>
      </w:tr>
    </w:tbl>
    <w:p>
      <w:pPr>
        <w:spacing w:line="360" w:lineRule="auto"/>
        <w:ind w:firstLine="482" w:firstLineChars="200"/>
        <w:rPr>
          <w:rFonts w:ascii="黑体" w:hAnsi="黑体" w:eastAsia="黑体"/>
          <w:b/>
          <w:color w:val="000000"/>
          <w:sz w:val="24"/>
          <w:szCs w:val="24"/>
        </w:rPr>
      </w:pPr>
      <w:r>
        <w:rPr>
          <w:rFonts w:hint="eastAsia" w:ascii="黑体" w:hAnsi="黑体" w:eastAsia="黑体"/>
          <w:b/>
          <w:color w:val="000000"/>
          <w:sz w:val="24"/>
          <w:szCs w:val="24"/>
        </w:rPr>
        <w:t>（二）教学进程安排</w:t>
      </w:r>
    </w:p>
    <w:p>
      <w:pPr>
        <w:spacing w:line="360" w:lineRule="auto"/>
        <w:ind w:firstLine="480" w:firstLineChars="200"/>
        <w:rPr>
          <w:rFonts w:ascii="华文仿宋" w:hAnsi="华文仿宋" w:eastAsia="华文仿宋"/>
          <w:sz w:val="24"/>
          <w:szCs w:val="24"/>
        </w:rPr>
      </w:pPr>
      <w:r>
        <w:rPr>
          <w:rFonts w:hint="eastAsia" w:ascii="仿宋" w:hAnsi="仿宋" w:eastAsia="仿宋" w:cs="仿宋"/>
          <w:sz w:val="24"/>
          <w:szCs w:val="24"/>
        </w:rPr>
        <w:t>见附件：</w:t>
      </w:r>
      <w:r>
        <w:rPr>
          <w:rFonts w:hint="eastAsia" w:ascii="华文仿宋" w:hAnsi="华文仿宋" w:eastAsia="华文仿宋"/>
          <w:sz w:val="24"/>
          <w:szCs w:val="24"/>
        </w:rPr>
        <w:t>2021级建筑工程技术专业教学进程安排表</w:t>
      </w:r>
    </w:p>
    <w:p>
      <w:pPr>
        <w:spacing w:line="360" w:lineRule="auto"/>
        <w:rPr>
          <w:rFonts w:ascii="黑体" w:hAnsi="黑体" w:eastAsia="黑体"/>
          <w:b/>
          <w:color w:val="000000"/>
          <w:sz w:val="30"/>
          <w:szCs w:val="30"/>
        </w:rPr>
      </w:pPr>
      <w:r>
        <w:rPr>
          <w:rFonts w:hint="eastAsia" w:ascii="黑体" w:hAnsi="黑体" w:eastAsia="黑体"/>
          <w:b/>
          <w:color w:val="000000"/>
          <w:sz w:val="30"/>
          <w:szCs w:val="30"/>
        </w:rPr>
        <w:t>八、实施保障</w:t>
      </w:r>
    </w:p>
    <w:p>
      <w:pPr>
        <w:spacing w:line="360" w:lineRule="auto"/>
        <w:ind w:firstLine="482" w:firstLineChars="200"/>
        <w:rPr>
          <w:rFonts w:ascii="黑体" w:hAnsi="黑体" w:eastAsia="黑体"/>
          <w:b/>
          <w:color w:val="000000"/>
          <w:sz w:val="24"/>
          <w:szCs w:val="24"/>
        </w:rPr>
      </w:pPr>
      <w:r>
        <w:rPr>
          <w:rFonts w:hint="eastAsia" w:ascii="黑体" w:hAnsi="黑体" w:eastAsia="黑体"/>
          <w:b/>
          <w:color w:val="000000"/>
          <w:sz w:val="24"/>
          <w:szCs w:val="24"/>
        </w:rPr>
        <w:t>（一）</w:t>
      </w:r>
      <w:bookmarkStart w:id="7" w:name="八一"/>
      <w:bookmarkEnd w:id="7"/>
      <w:r>
        <w:rPr>
          <w:rFonts w:hint="eastAsia" w:ascii="黑体" w:hAnsi="黑体" w:eastAsia="黑体"/>
          <w:b/>
          <w:color w:val="000000"/>
          <w:sz w:val="24"/>
          <w:szCs w:val="24"/>
        </w:rPr>
        <w:t>师资队伍</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1.队伍结构</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专业教师师生比原则为 1:20 以内，双师素质教师比例占专业教师比例达到60%以上。教学团队职称、年龄结构不断趋于合理，形成梯队。</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2.专任教师</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专任教师应具有高等学校相应专业教师资格证；有理想信念、有道德情操、有扎实学识、有仁爱之心；具有建筑工程技术等相关专业本科及以上学历（有三年以上企业实践经验的可以放宽到专科）；具有扎实的本专业相关理论功底和实践能力：具有较强的信息化教学能力，能够开展课程教学改革建设和科学研究</w:t>
      </w:r>
      <w:r>
        <w:rPr>
          <w:rFonts w:hint="eastAsia" w:ascii="仿宋" w:hAnsi="仿宋" w:eastAsia="仿宋" w:cs="仿宋"/>
          <w:sz w:val="24"/>
          <w:szCs w:val="24"/>
          <w:lang w:eastAsia="zh-CN"/>
        </w:rPr>
        <w:t>，</w:t>
      </w:r>
      <w:r>
        <w:rPr>
          <w:rFonts w:hint="eastAsia" w:ascii="仿宋" w:hAnsi="仿宋" w:eastAsia="仿宋" w:cs="仿宋"/>
          <w:sz w:val="24"/>
          <w:szCs w:val="24"/>
        </w:rPr>
        <w:t>每年企业实践时间不少于 1个月。目前有专任教师15名，高级职称5名，博士3名，硕士10名。</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3.专业带头人</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原则上为副教授及以上职称或具有10年以上职业教育工作经历的研究生学历教师</w:t>
      </w:r>
      <w:r>
        <w:rPr>
          <w:rFonts w:hint="eastAsia" w:ascii="仿宋" w:hAnsi="仿宋" w:eastAsia="仿宋" w:cs="仿宋"/>
          <w:sz w:val="24"/>
          <w:szCs w:val="24"/>
          <w:lang w:eastAsia="zh-CN"/>
        </w:rPr>
        <w:t>；</w:t>
      </w:r>
      <w:r>
        <w:rPr>
          <w:rFonts w:hint="eastAsia" w:ascii="仿宋" w:hAnsi="仿宋" w:eastAsia="仿宋" w:cs="仿宋"/>
          <w:sz w:val="24"/>
          <w:szCs w:val="24"/>
        </w:rPr>
        <w:t>掌握本专业理论知识和实践技能，了解行业动态</w:t>
      </w:r>
      <w:r>
        <w:rPr>
          <w:rFonts w:hint="eastAsia" w:ascii="仿宋" w:hAnsi="仿宋" w:eastAsia="仿宋" w:cs="仿宋"/>
          <w:sz w:val="24"/>
          <w:szCs w:val="24"/>
          <w:lang w:eastAsia="zh-CN"/>
        </w:rPr>
        <w:t>；</w:t>
      </w:r>
      <w:r>
        <w:rPr>
          <w:rFonts w:hint="eastAsia" w:ascii="仿宋" w:hAnsi="仿宋" w:eastAsia="仿宋" w:cs="仿宋"/>
          <w:sz w:val="24"/>
          <w:szCs w:val="24"/>
        </w:rPr>
        <w:t>能够广泛联系行业企业；教学设计、教学研究能力强</w:t>
      </w:r>
      <w:r>
        <w:rPr>
          <w:rFonts w:hint="eastAsia" w:ascii="仿宋" w:hAnsi="仿宋" w:eastAsia="仿宋" w:cs="仿宋"/>
          <w:sz w:val="24"/>
          <w:szCs w:val="24"/>
          <w:lang w:eastAsia="zh-CN"/>
        </w:rPr>
        <w:t>；</w:t>
      </w:r>
      <w:r>
        <w:rPr>
          <w:rFonts w:hint="eastAsia" w:ascii="仿宋" w:hAnsi="仿宋" w:eastAsia="仿宋" w:cs="仿宋"/>
          <w:sz w:val="24"/>
          <w:szCs w:val="24"/>
        </w:rPr>
        <w:t>组织开展科学研究能力强。</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4.兼职教师</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兼职教师主要从本专业相关的行业企业聘请；具备良好的政治思想素质、职业道德和工匠精神；具有扎实的专业基础知识和丰富的实际工作经验，能够承担专业课程教学、实习实训指导和学生职业生涯发展规划指导任务。目前有兼职教师10多名，高级职称7名，博士2名，硕士2名。</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5.思政指导教师</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思政指导教师应兼具思政素养和专业视野，能密切关注专业课程与思政教育内容之间的关联性，具备挖掘专业课程中蕴含的思政教育元素的能力，使专业课程与思想政治理论课同向同行，形成协同效应；由二级学院专职党务干部、辅导员及马克思主义学院思政课名师、骨干教师等担任。</w:t>
      </w:r>
    </w:p>
    <w:p>
      <w:pPr>
        <w:spacing w:line="480" w:lineRule="exact"/>
        <w:ind w:firstLine="482" w:firstLineChars="200"/>
        <w:rPr>
          <w:rFonts w:ascii="黑体" w:hAnsi="黑体" w:eastAsia="黑体" w:cs="黑体"/>
          <w:b/>
          <w:sz w:val="24"/>
          <w:szCs w:val="24"/>
        </w:rPr>
      </w:pPr>
      <w:r>
        <w:rPr>
          <w:rFonts w:hint="eastAsia" w:ascii="黑体" w:hAnsi="黑体" w:eastAsia="黑体" w:cs="黑体"/>
          <w:b/>
          <w:sz w:val="24"/>
          <w:szCs w:val="24"/>
        </w:rPr>
        <w:t>（二）教学设施</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1.校内实训基地</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本专业校内建有装配</w:t>
      </w:r>
      <w:r>
        <w:rPr>
          <w:rFonts w:hint="eastAsia" w:ascii="仿宋" w:hAnsi="仿宋" w:eastAsia="仿宋" w:cs="仿宋"/>
          <w:sz w:val="24"/>
          <w:szCs w:val="24"/>
          <w:lang w:eastAsia="zh-CN"/>
        </w:rPr>
        <w:t>式</w:t>
      </w:r>
      <w:r>
        <w:rPr>
          <w:rFonts w:hint="eastAsia" w:ascii="仿宋" w:hAnsi="仿宋" w:eastAsia="仿宋" w:cs="仿宋"/>
          <w:sz w:val="24"/>
          <w:szCs w:val="24"/>
        </w:rPr>
        <w:t>建筑认知实训室、装配</w:t>
      </w:r>
      <w:r>
        <w:rPr>
          <w:rFonts w:hint="eastAsia" w:ascii="仿宋" w:hAnsi="仿宋" w:eastAsia="仿宋" w:cs="仿宋"/>
          <w:sz w:val="24"/>
          <w:szCs w:val="24"/>
          <w:lang w:eastAsia="zh-CN"/>
        </w:rPr>
        <w:t>式</w:t>
      </w:r>
      <w:r>
        <w:rPr>
          <w:rFonts w:hint="eastAsia" w:ascii="仿宋" w:hAnsi="仿宋" w:eastAsia="仿宋" w:cs="仿宋"/>
          <w:sz w:val="24"/>
          <w:szCs w:val="24"/>
        </w:rPr>
        <w:t>建筑施工实训室、土工实训室、建筑材料实训室等16个实验实训室，完全能满足专业实训教学要求。</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2.校外实训基地</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本专业校外建有大东吴建筑工程实训基地、东南建设实训基地等多个校外实训基地，完全能满足学生专业实习实训教学要求。</w:t>
      </w:r>
    </w:p>
    <w:p>
      <w:pPr>
        <w:spacing w:line="480" w:lineRule="exact"/>
        <w:ind w:firstLine="482" w:firstLineChars="200"/>
        <w:rPr>
          <w:rFonts w:ascii="黑体" w:hAnsi="黑体" w:eastAsia="黑体" w:cs="黑体"/>
          <w:b/>
          <w:sz w:val="24"/>
          <w:szCs w:val="24"/>
        </w:rPr>
      </w:pPr>
      <w:r>
        <w:rPr>
          <w:rFonts w:hint="eastAsia" w:ascii="黑体" w:hAnsi="黑体" w:eastAsia="黑体" w:cs="黑体"/>
          <w:b/>
          <w:sz w:val="24"/>
          <w:szCs w:val="24"/>
        </w:rPr>
        <w:t>（三）教学资源</w:t>
      </w:r>
    </w:p>
    <w:p>
      <w:pPr>
        <w:spacing w:line="480" w:lineRule="exact"/>
        <w:ind w:firstLine="480" w:firstLineChars="200"/>
        <w:rPr>
          <w:rFonts w:ascii="华文仿宋" w:hAnsi="华文仿宋" w:eastAsia="华文仿宋"/>
          <w:b/>
          <w:bCs/>
          <w:sz w:val="24"/>
          <w:szCs w:val="24"/>
        </w:rPr>
      </w:pPr>
      <w:r>
        <w:rPr>
          <w:rFonts w:hint="eastAsia" w:ascii="华文仿宋" w:hAnsi="华文仿宋" w:eastAsia="华文仿宋"/>
          <w:b/>
          <w:bCs/>
          <w:sz w:val="24"/>
          <w:szCs w:val="24"/>
        </w:rPr>
        <w:t>1. 教材选用</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本专业教材选用严格按照《湖州职业技术学院教材建设、选用与管理办法》规定执行，思想政治理论课全部采用马克思主义理论研究和建设工程重点教材。公共基础课和专业核心课程从国家和省级教育行政部门发布的规划教材目录中选用，其他课程优先选用国家规划教材或省重点教材。</w:t>
      </w:r>
    </w:p>
    <w:p>
      <w:pPr>
        <w:numPr>
          <w:ilvl w:val="0"/>
          <w:numId w:val="1"/>
        </w:numPr>
        <w:spacing w:line="480" w:lineRule="exact"/>
        <w:ind w:firstLine="480" w:firstLineChars="200"/>
        <w:rPr>
          <w:rFonts w:ascii="华文仿宋" w:hAnsi="华文仿宋" w:eastAsia="华文仿宋"/>
          <w:b/>
          <w:bCs/>
          <w:sz w:val="24"/>
          <w:szCs w:val="24"/>
        </w:rPr>
      </w:pPr>
      <w:r>
        <w:rPr>
          <w:rFonts w:hint="eastAsia" w:ascii="华文仿宋" w:hAnsi="华文仿宋" w:eastAsia="华文仿宋"/>
          <w:b/>
          <w:bCs/>
          <w:sz w:val="24"/>
          <w:szCs w:val="24"/>
        </w:rPr>
        <w:t>图书文献资源</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学校图书馆除有大量藏书和文献资料，还配备有中国知网、超星移动图书馆、新东方多媒体学习库、博学易知数据库等服务平台，能满足学生全面培养、教科研工作、专业建设等的需要，方便师生借阅、查询。</w:t>
      </w:r>
    </w:p>
    <w:p>
      <w:pPr>
        <w:numPr>
          <w:ilvl w:val="0"/>
          <w:numId w:val="1"/>
        </w:numPr>
        <w:spacing w:line="480" w:lineRule="exact"/>
        <w:ind w:firstLine="480" w:firstLineChars="200"/>
        <w:rPr>
          <w:rFonts w:ascii="华文仿宋" w:hAnsi="华文仿宋" w:eastAsia="华文仿宋"/>
          <w:b/>
          <w:bCs/>
          <w:sz w:val="24"/>
          <w:szCs w:val="24"/>
        </w:rPr>
      </w:pPr>
      <w:r>
        <w:rPr>
          <w:rFonts w:hint="eastAsia" w:ascii="华文仿宋" w:hAnsi="华文仿宋" w:eastAsia="华文仿宋"/>
          <w:b/>
          <w:bCs/>
          <w:sz w:val="24"/>
          <w:szCs w:val="24"/>
        </w:rPr>
        <w:t>数字资源</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学校现有410余门网络课程供教师选用和学生学习（其中自建在线开放课程学习平台拥有课程100余门，在第三方在线平台建有110余门网络课程，购买第三方网络课程200余门）。</w:t>
      </w:r>
    </w:p>
    <w:p>
      <w:pPr>
        <w:spacing w:line="480" w:lineRule="exact"/>
        <w:ind w:firstLine="482" w:firstLineChars="200"/>
        <w:rPr>
          <w:rFonts w:ascii="黑体" w:hAnsi="黑体" w:eastAsia="黑体" w:cs="黑体"/>
          <w:b/>
          <w:sz w:val="24"/>
          <w:szCs w:val="24"/>
        </w:rPr>
      </w:pPr>
      <w:r>
        <w:rPr>
          <w:rFonts w:hint="eastAsia" w:ascii="黑体" w:hAnsi="黑体" w:eastAsia="黑体" w:cs="黑体"/>
          <w:b/>
          <w:sz w:val="24"/>
          <w:szCs w:val="24"/>
        </w:rPr>
        <w:t>（四）教学方法</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依据专业培养目标、课程教学要求，结合课程教学目标和课程特点以及有关学情和教学资源，选择最优化教学法。综合考虑教学效果和教学可操作性等因素，多数课程内容采用讲授法、混合教学法、分组讨论法、案例教学法、任务教学法、现场教学法等多种形式。坚持学中做、做中学，倡导因材施教、因需施教，鼓励创新教学方法和策略。根据内容特点和学生特点，以学生为主体，合理选择各种教学方法，教师起引导作用。在教学组织上充分利用校内理实一体化教室、多媒体网络教学条件和校内外实训基地的资源，采用问题教学、案例教学、任务驱动教学、情境教学、单项操作训练和综合能力考核等方法提高学生的职业能力。学校鼓励信息技术在教育教学中的应用，通过改进教学方式，达成预期教学目标。</w:t>
      </w:r>
    </w:p>
    <w:p>
      <w:pPr>
        <w:spacing w:line="480" w:lineRule="exact"/>
        <w:ind w:firstLine="482" w:firstLineChars="200"/>
        <w:rPr>
          <w:rFonts w:ascii="黑体" w:hAnsi="黑体" w:eastAsia="黑体" w:cs="黑体"/>
          <w:b/>
          <w:sz w:val="24"/>
          <w:szCs w:val="24"/>
        </w:rPr>
      </w:pPr>
      <w:r>
        <w:rPr>
          <w:rFonts w:hint="eastAsia" w:ascii="黑体" w:hAnsi="黑体" w:eastAsia="黑体" w:cs="黑体"/>
          <w:b/>
          <w:sz w:val="24"/>
          <w:szCs w:val="24"/>
        </w:rPr>
        <w:t>（五）学习评价</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学校改革和完善教学评价标准和方法，强调教学过程的质量监控。对教师评价，采取课前注意教学资料检查评价；课中注重教师、督导随堂听课评价；课后注重学生评教评价，确保教学质量。</w:t>
      </w:r>
    </w:p>
    <w:p>
      <w:pPr>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对学生评价，兼顾认知、技能、情感等方面，采取观察、口试、笔试、技能操作、职业技能竞赛、职业资格考试及鉴定等评价方式，建立多元化考核、评价方式。考核采用平时考核加期末考试相结合的方式，平时成绩和期末考查成绩均以百分制计算。</w:t>
      </w:r>
    </w:p>
    <w:p>
      <w:pPr>
        <w:spacing w:line="480" w:lineRule="exact"/>
        <w:ind w:firstLine="482" w:firstLineChars="200"/>
        <w:rPr>
          <w:rFonts w:ascii="黑体" w:hAnsi="黑体" w:eastAsia="黑体" w:cs="黑体"/>
          <w:b/>
          <w:sz w:val="24"/>
          <w:szCs w:val="24"/>
        </w:rPr>
      </w:pPr>
      <w:r>
        <w:rPr>
          <w:rFonts w:hint="eastAsia" w:ascii="黑体" w:hAnsi="黑体" w:eastAsia="黑体" w:cs="黑体"/>
          <w:b/>
          <w:sz w:val="24"/>
          <w:szCs w:val="24"/>
        </w:rPr>
        <w:t>（六）质量保障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1.成立了教育教学管理与质量监控体系</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成立了由建筑工程学院院长为组长的教学质量监控小组，在学校教学质量监控体系的框架下，建立符合建筑工程技术专业实际的教学质量监控办法，对专业建设和教学工作实施全过程质量监控，确保人才培养质量的稳步提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2.加强质量管理制度建设</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根据学校确定的教学标准，从主要内容选择、课程教学方案设定、教辅资料编写，到实验实训、成绩考核等各个教学环节，严格把握质量标准和工作规范，通过质量监测和评价的循环，确保教学质量稳步提升。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3.实践教学基地的质量检测</w:t>
      </w:r>
    </w:p>
    <w:p>
      <w:pPr>
        <w:spacing w:line="360" w:lineRule="auto"/>
        <w:ind w:firstLine="480" w:firstLineChars="200"/>
        <w:rPr>
          <w:rFonts w:ascii="仿宋" w:hAnsi="仿宋" w:eastAsia="仿宋"/>
          <w:color w:val="000000"/>
          <w:sz w:val="24"/>
          <w:szCs w:val="24"/>
        </w:rPr>
      </w:pPr>
      <w:r>
        <w:rPr>
          <w:rFonts w:hint="eastAsia" w:ascii="仿宋" w:hAnsi="仿宋" w:eastAsia="仿宋" w:cs="仿宋"/>
          <w:sz w:val="24"/>
          <w:szCs w:val="24"/>
        </w:rPr>
        <w:t>为保证实践教学基地的正常运行和规范提高，进一步完善实践教学基地评价系统，建立定期对实践教学基地运行评价的制度，建立实践教学基地正常进入、退出机制，保证实践教学基地能满足认知见习、课程实训、综合实训、毕业实习人才培养的需求，确保实践教学质量稳步提高。</w:t>
      </w:r>
    </w:p>
    <w:p>
      <w:pPr>
        <w:spacing w:line="480" w:lineRule="exact"/>
        <w:rPr>
          <w:rFonts w:ascii="黑体" w:hAnsi="黑体" w:eastAsia="黑体" w:cs="黑体"/>
          <w:b/>
          <w:sz w:val="30"/>
          <w:szCs w:val="30"/>
        </w:rPr>
      </w:pPr>
      <w:r>
        <w:rPr>
          <w:rFonts w:hint="eastAsia" w:ascii="黑体" w:hAnsi="黑体" w:eastAsia="黑体" w:cs="黑体"/>
          <w:b/>
          <w:sz w:val="30"/>
          <w:szCs w:val="30"/>
        </w:rPr>
        <w:t>九、毕业条件</w:t>
      </w:r>
    </w:p>
    <w:p>
      <w:pPr>
        <w:spacing w:line="480" w:lineRule="exact"/>
        <w:ind w:firstLine="482" w:firstLineChars="200"/>
        <w:rPr>
          <w:rFonts w:ascii="黑体" w:hAnsi="黑体" w:eastAsia="黑体" w:cs="黑体"/>
          <w:b/>
          <w:sz w:val="24"/>
          <w:szCs w:val="24"/>
        </w:rPr>
      </w:pPr>
      <w:r>
        <w:rPr>
          <w:rFonts w:hint="eastAsia" w:ascii="黑体" w:hAnsi="黑体" w:eastAsia="黑体" w:cs="黑体"/>
          <w:b/>
          <w:sz w:val="24"/>
          <w:szCs w:val="24"/>
        </w:rPr>
        <w:t>（一）学分</w:t>
      </w:r>
    </w:p>
    <w:p>
      <w:pPr>
        <w:spacing w:line="480" w:lineRule="exact"/>
        <w:jc w:val="center"/>
        <w:rPr>
          <w:rFonts w:ascii="仿宋" w:hAnsi="仿宋" w:eastAsia="仿宋"/>
          <w:b/>
          <w:sz w:val="24"/>
          <w:szCs w:val="24"/>
        </w:rPr>
      </w:pPr>
      <w:r>
        <w:rPr>
          <w:rFonts w:hint="eastAsia" w:ascii="仿宋" w:hAnsi="仿宋" w:eastAsia="仿宋"/>
          <w:b/>
          <w:sz w:val="24"/>
          <w:szCs w:val="24"/>
        </w:rPr>
        <w:t>表7 毕业学分要求一览表</w:t>
      </w:r>
    </w:p>
    <w:tbl>
      <w:tblPr>
        <w:tblStyle w:val="10"/>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5"/>
        <w:gridCol w:w="1249"/>
        <w:gridCol w:w="1758"/>
        <w:gridCol w:w="865"/>
        <w:gridCol w:w="672"/>
        <w:gridCol w:w="544"/>
        <w:gridCol w:w="530"/>
        <w:gridCol w:w="572"/>
        <w:gridCol w:w="642"/>
        <w:gridCol w:w="1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5" w:type="pct"/>
            <w:gridSpan w:val="5"/>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公共基础课</w:t>
            </w:r>
          </w:p>
        </w:tc>
        <w:tc>
          <w:tcPr>
            <w:tcW w:w="642" w:type="pct"/>
            <w:gridSpan w:val="2"/>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专业课</w:t>
            </w:r>
          </w:p>
        </w:tc>
        <w:tc>
          <w:tcPr>
            <w:tcW w:w="342" w:type="pct"/>
            <w:vMerge w:val="restart"/>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综合实践</w:t>
            </w:r>
          </w:p>
        </w:tc>
        <w:tc>
          <w:tcPr>
            <w:tcW w:w="384" w:type="pct"/>
            <w:vMerge w:val="restart"/>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第二课堂学分</w:t>
            </w:r>
          </w:p>
        </w:tc>
        <w:tc>
          <w:tcPr>
            <w:tcW w:w="605" w:type="pct"/>
            <w:vMerge w:val="restart"/>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8" w:type="pct"/>
            <w:vMerge w:val="restart"/>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必修</w:t>
            </w:r>
          </w:p>
        </w:tc>
        <w:tc>
          <w:tcPr>
            <w:tcW w:w="2717" w:type="pct"/>
            <w:gridSpan w:val="4"/>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选修课</w:t>
            </w:r>
          </w:p>
        </w:tc>
        <w:tc>
          <w:tcPr>
            <w:tcW w:w="325" w:type="pct"/>
            <w:vMerge w:val="restart"/>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专业必修</w:t>
            </w:r>
          </w:p>
        </w:tc>
        <w:tc>
          <w:tcPr>
            <w:tcW w:w="317" w:type="pct"/>
            <w:vMerge w:val="restart"/>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专业选修</w:t>
            </w:r>
          </w:p>
        </w:tc>
        <w:tc>
          <w:tcPr>
            <w:tcW w:w="342" w:type="pct"/>
            <w:vMerge w:val="continue"/>
            <w:tcMar>
              <w:top w:w="28" w:type="dxa"/>
              <w:left w:w="28" w:type="dxa"/>
              <w:bottom w:w="28" w:type="dxa"/>
              <w:right w:w="28" w:type="dxa"/>
            </w:tcMar>
            <w:vAlign w:val="center"/>
          </w:tcPr>
          <w:p>
            <w:pPr>
              <w:spacing w:line="240" w:lineRule="exact"/>
              <w:jc w:val="center"/>
              <w:rPr>
                <w:rFonts w:ascii="仿宋" w:hAnsi="仿宋" w:eastAsia="仿宋" w:cs="仿宋"/>
                <w:sz w:val="20"/>
                <w:szCs w:val="20"/>
              </w:rPr>
            </w:pPr>
          </w:p>
        </w:tc>
        <w:tc>
          <w:tcPr>
            <w:tcW w:w="384" w:type="pct"/>
            <w:vMerge w:val="continue"/>
            <w:tcMar>
              <w:top w:w="28" w:type="dxa"/>
              <w:left w:w="28" w:type="dxa"/>
              <w:bottom w:w="28" w:type="dxa"/>
              <w:right w:w="28" w:type="dxa"/>
            </w:tcMar>
            <w:vAlign w:val="center"/>
          </w:tcPr>
          <w:p>
            <w:pPr>
              <w:spacing w:line="240" w:lineRule="exact"/>
              <w:jc w:val="center"/>
              <w:rPr>
                <w:rFonts w:ascii="仿宋" w:hAnsi="仿宋" w:eastAsia="仿宋" w:cs="仿宋"/>
                <w:sz w:val="20"/>
                <w:szCs w:val="20"/>
              </w:rPr>
            </w:pPr>
          </w:p>
        </w:tc>
        <w:tc>
          <w:tcPr>
            <w:tcW w:w="605" w:type="pct"/>
            <w:vMerge w:val="continue"/>
            <w:tcMar>
              <w:top w:w="28" w:type="dxa"/>
              <w:left w:w="28" w:type="dxa"/>
              <w:bottom w:w="28" w:type="dxa"/>
              <w:right w:w="28" w:type="dxa"/>
            </w:tcMar>
            <w:vAlign w:val="center"/>
          </w:tcPr>
          <w:p>
            <w:pPr>
              <w:spacing w:line="240" w:lineRule="exact"/>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8" w:type="pct"/>
            <w:vMerge w:val="continue"/>
            <w:tcMar>
              <w:top w:w="28" w:type="dxa"/>
              <w:left w:w="28" w:type="dxa"/>
              <w:bottom w:w="28" w:type="dxa"/>
              <w:right w:w="28" w:type="dxa"/>
            </w:tcMar>
            <w:vAlign w:val="center"/>
          </w:tcPr>
          <w:p>
            <w:pPr>
              <w:spacing w:line="240" w:lineRule="exact"/>
              <w:jc w:val="center"/>
              <w:rPr>
                <w:rFonts w:ascii="仿宋" w:hAnsi="仿宋" w:eastAsia="仿宋" w:cs="仿宋"/>
                <w:sz w:val="20"/>
                <w:szCs w:val="20"/>
              </w:rPr>
            </w:pPr>
          </w:p>
        </w:tc>
        <w:tc>
          <w:tcPr>
            <w:tcW w:w="747" w:type="pct"/>
            <w:vMerge w:val="restart"/>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限定选修</w:t>
            </w:r>
          </w:p>
        </w:tc>
        <w:tc>
          <w:tcPr>
            <w:tcW w:w="1970" w:type="pct"/>
            <w:gridSpan w:val="3"/>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任选</w:t>
            </w:r>
          </w:p>
        </w:tc>
        <w:tc>
          <w:tcPr>
            <w:tcW w:w="325" w:type="pct"/>
            <w:vMerge w:val="continue"/>
            <w:tcMar>
              <w:top w:w="28" w:type="dxa"/>
              <w:left w:w="28" w:type="dxa"/>
              <w:bottom w:w="28" w:type="dxa"/>
              <w:right w:w="28" w:type="dxa"/>
            </w:tcMar>
            <w:vAlign w:val="center"/>
          </w:tcPr>
          <w:p>
            <w:pPr>
              <w:spacing w:line="240" w:lineRule="exact"/>
              <w:jc w:val="center"/>
              <w:rPr>
                <w:rFonts w:ascii="仿宋" w:hAnsi="仿宋" w:eastAsia="仿宋" w:cs="仿宋"/>
                <w:sz w:val="20"/>
                <w:szCs w:val="20"/>
              </w:rPr>
            </w:pPr>
          </w:p>
        </w:tc>
        <w:tc>
          <w:tcPr>
            <w:tcW w:w="317" w:type="pct"/>
            <w:vMerge w:val="continue"/>
            <w:tcMar>
              <w:top w:w="28" w:type="dxa"/>
              <w:left w:w="28" w:type="dxa"/>
              <w:bottom w:w="28" w:type="dxa"/>
              <w:right w:w="28" w:type="dxa"/>
            </w:tcMar>
            <w:vAlign w:val="center"/>
          </w:tcPr>
          <w:p>
            <w:pPr>
              <w:spacing w:line="240" w:lineRule="exact"/>
              <w:jc w:val="center"/>
              <w:rPr>
                <w:rFonts w:ascii="仿宋" w:hAnsi="仿宋" w:eastAsia="仿宋" w:cs="仿宋"/>
                <w:sz w:val="20"/>
                <w:szCs w:val="20"/>
              </w:rPr>
            </w:pPr>
          </w:p>
        </w:tc>
        <w:tc>
          <w:tcPr>
            <w:tcW w:w="342" w:type="pct"/>
            <w:vMerge w:val="continue"/>
            <w:tcMar>
              <w:top w:w="28" w:type="dxa"/>
              <w:left w:w="28" w:type="dxa"/>
              <w:bottom w:w="28" w:type="dxa"/>
              <w:right w:w="28" w:type="dxa"/>
            </w:tcMar>
            <w:vAlign w:val="center"/>
          </w:tcPr>
          <w:p>
            <w:pPr>
              <w:spacing w:line="240" w:lineRule="exact"/>
              <w:jc w:val="center"/>
              <w:rPr>
                <w:rFonts w:ascii="仿宋" w:hAnsi="仿宋" w:eastAsia="仿宋" w:cs="仿宋"/>
                <w:sz w:val="20"/>
                <w:szCs w:val="20"/>
              </w:rPr>
            </w:pPr>
          </w:p>
        </w:tc>
        <w:tc>
          <w:tcPr>
            <w:tcW w:w="384" w:type="pct"/>
            <w:vMerge w:val="continue"/>
            <w:tcMar>
              <w:top w:w="28" w:type="dxa"/>
              <w:left w:w="28" w:type="dxa"/>
              <w:bottom w:w="28" w:type="dxa"/>
              <w:right w:w="28" w:type="dxa"/>
            </w:tcMar>
            <w:vAlign w:val="center"/>
          </w:tcPr>
          <w:p>
            <w:pPr>
              <w:spacing w:line="240" w:lineRule="exact"/>
              <w:jc w:val="center"/>
              <w:rPr>
                <w:rFonts w:ascii="仿宋" w:hAnsi="仿宋" w:eastAsia="仿宋" w:cs="仿宋"/>
                <w:sz w:val="20"/>
                <w:szCs w:val="20"/>
              </w:rPr>
            </w:pPr>
          </w:p>
        </w:tc>
        <w:tc>
          <w:tcPr>
            <w:tcW w:w="605" w:type="pct"/>
            <w:vMerge w:val="continue"/>
            <w:tcMar>
              <w:top w:w="28" w:type="dxa"/>
              <w:left w:w="28" w:type="dxa"/>
              <w:bottom w:w="28" w:type="dxa"/>
              <w:right w:w="28" w:type="dxa"/>
            </w:tcMar>
            <w:vAlign w:val="center"/>
          </w:tcPr>
          <w:p>
            <w:pPr>
              <w:spacing w:line="240" w:lineRule="exact"/>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8" w:type="pct"/>
            <w:vMerge w:val="continue"/>
            <w:tcMar>
              <w:top w:w="28" w:type="dxa"/>
              <w:left w:w="28" w:type="dxa"/>
              <w:bottom w:w="28" w:type="dxa"/>
              <w:right w:w="28" w:type="dxa"/>
            </w:tcMar>
            <w:vAlign w:val="center"/>
          </w:tcPr>
          <w:p>
            <w:pPr>
              <w:spacing w:line="240" w:lineRule="exact"/>
              <w:jc w:val="center"/>
              <w:rPr>
                <w:rFonts w:ascii="仿宋" w:hAnsi="仿宋" w:eastAsia="仿宋" w:cs="仿宋"/>
                <w:sz w:val="20"/>
                <w:szCs w:val="20"/>
              </w:rPr>
            </w:pPr>
          </w:p>
        </w:tc>
        <w:tc>
          <w:tcPr>
            <w:tcW w:w="747" w:type="pct"/>
            <w:vMerge w:val="continue"/>
            <w:tcMar>
              <w:top w:w="28" w:type="dxa"/>
              <w:left w:w="28" w:type="dxa"/>
              <w:bottom w:w="28" w:type="dxa"/>
              <w:right w:w="28" w:type="dxa"/>
            </w:tcMar>
            <w:vAlign w:val="center"/>
          </w:tcPr>
          <w:p>
            <w:pPr>
              <w:spacing w:line="240" w:lineRule="exact"/>
              <w:jc w:val="center"/>
              <w:rPr>
                <w:rFonts w:ascii="仿宋" w:hAnsi="仿宋" w:eastAsia="仿宋" w:cs="仿宋"/>
                <w:sz w:val="20"/>
                <w:szCs w:val="20"/>
              </w:rPr>
            </w:pPr>
          </w:p>
        </w:tc>
        <w:tc>
          <w:tcPr>
            <w:tcW w:w="1051" w:type="pct"/>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通识（含美育1分）</w:t>
            </w:r>
          </w:p>
        </w:tc>
        <w:tc>
          <w:tcPr>
            <w:tcW w:w="517" w:type="pct"/>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创新创业</w:t>
            </w:r>
          </w:p>
        </w:tc>
        <w:tc>
          <w:tcPr>
            <w:tcW w:w="401" w:type="pct"/>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其他</w:t>
            </w:r>
          </w:p>
        </w:tc>
        <w:tc>
          <w:tcPr>
            <w:tcW w:w="325" w:type="pct"/>
            <w:vMerge w:val="continue"/>
            <w:tcMar>
              <w:top w:w="28" w:type="dxa"/>
              <w:left w:w="28" w:type="dxa"/>
              <w:bottom w:w="28" w:type="dxa"/>
              <w:right w:w="28" w:type="dxa"/>
            </w:tcMar>
            <w:vAlign w:val="center"/>
          </w:tcPr>
          <w:p>
            <w:pPr>
              <w:spacing w:line="240" w:lineRule="exact"/>
              <w:jc w:val="center"/>
              <w:rPr>
                <w:rFonts w:ascii="仿宋" w:hAnsi="仿宋" w:eastAsia="仿宋" w:cs="仿宋"/>
                <w:sz w:val="20"/>
                <w:szCs w:val="20"/>
              </w:rPr>
            </w:pPr>
          </w:p>
        </w:tc>
        <w:tc>
          <w:tcPr>
            <w:tcW w:w="317" w:type="pct"/>
            <w:vMerge w:val="continue"/>
            <w:tcMar>
              <w:top w:w="28" w:type="dxa"/>
              <w:left w:w="28" w:type="dxa"/>
              <w:bottom w:w="28" w:type="dxa"/>
              <w:right w:w="28" w:type="dxa"/>
            </w:tcMar>
            <w:vAlign w:val="center"/>
          </w:tcPr>
          <w:p>
            <w:pPr>
              <w:spacing w:line="240" w:lineRule="exact"/>
              <w:jc w:val="center"/>
              <w:rPr>
                <w:rFonts w:ascii="仿宋" w:hAnsi="仿宋" w:eastAsia="仿宋" w:cs="仿宋"/>
                <w:sz w:val="20"/>
                <w:szCs w:val="20"/>
              </w:rPr>
            </w:pPr>
          </w:p>
        </w:tc>
        <w:tc>
          <w:tcPr>
            <w:tcW w:w="342" w:type="pct"/>
            <w:vMerge w:val="continue"/>
            <w:tcMar>
              <w:top w:w="28" w:type="dxa"/>
              <w:left w:w="28" w:type="dxa"/>
              <w:bottom w:w="28" w:type="dxa"/>
              <w:right w:w="28" w:type="dxa"/>
            </w:tcMar>
            <w:vAlign w:val="center"/>
          </w:tcPr>
          <w:p>
            <w:pPr>
              <w:spacing w:line="240" w:lineRule="exact"/>
              <w:jc w:val="center"/>
              <w:rPr>
                <w:rFonts w:ascii="仿宋" w:hAnsi="仿宋" w:eastAsia="仿宋" w:cs="仿宋"/>
                <w:sz w:val="20"/>
                <w:szCs w:val="20"/>
              </w:rPr>
            </w:pPr>
          </w:p>
        </w:tc>
        <w:tc>
          <w:tcPr>
            <w:tcW w:w="384" w:type="pct"/>
            <w:vMerge w:val="continue"/>
            <w:tcMar>
              <w:top w:w="28" w:type="dxa"/>
              <w:left w:w="28" w:type="dxa"/>
              <w:bottom w:w="28" w:type="dxa"/>
              <w:right w:w="28" w:type="dxa"/>
            </w:tcMar>
            <w:vAlign w:val="center"/>
          </w:tcPr>
          <w:p>
            <w:pPr>
              <w:spacing w:line="240" w:lineRule="exact"/>
              <w:jc w:val="center"/>
              <w:rPr>
                <w:rFonts w:ascii="仿宋" w:hAnsi="仿宋" w:eastAsia="仿宋" w:cs="仿宋"/>
                <w:sz w:val="20"/>
                <w:szCs w:val="20"/>
              </w:rPr>
            </w:pPr>
          </w:p>
        </w:tc>
        <w:tc>
          <w:tcPr>
            <w:tcW w:w="605" w:type="pct"/>
            <w:vMerge w:val="continue"/>
            <w:tcMar>
              <w:top w:w="28" w:type="dxa"/>
              <w:left w:w="28" w:type="dxa"/>
              <w:bottom w:w="28" w:type="dxa"/>
              <w:right w:w="28" w:type="dxa"/>
            </w:tcMar>
            <w:vAlign w:val="center"/>
          </w:tcPr>
          <w:p>
            <w:pPr>
              <w:spacing w:line="240" w:lineRule="exact"/>
              <w:jc w:val="center"/>
              <w:rPr>
                <w:rFonts w:ascii="仿宋" w:hAnsi="仿宋" w:eastAsia="仿宋" w:cs="仿宋"/>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8" w:type="pct"/>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17</w:t>
            </w:r>
          </w:p>
        </w:tc>
        <w:tc>
          <w:tcPr>
            <w:tcW w:w="747" w:type="pct"/>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12(10)</w:t>
            </w:r>
          </w:p>
        </w:tc>
        <w:tc>
          <w:tcPr>
            <w:tcW w:w="1051" w:type="pct"/>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4</w:t>
            </w:r>
          </w:p>
        </w:tc>
        <w:tc>
          <w:tcPr>
            <w:tcW w:w="517" w:type="pct"/>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2</w:t>
            </w:r>
          </w:p>
        </w:tc>
        <w:tc>
          <w:tcPr>
            <w:tcW w:w="401" w:type="pct"/>
            <w:tcMar>
              <w:top w:w="28" w:type="dxa"/>
              <w:left w:w="28" w:type="dxa"/>
              <w:bottom w:w="28" w:type="dxa"/>
              <w:right w:w="28" w:type="dxa"/>
            </w:tcMar>
            <w:vAlign w:val="center"/>
          </w:tcPr>
          <w:p>
            <w:pPr>
              <w:spacing w:line="240" w:lineRule="exact"/>
              <w:jc w:val="center"/>
              <w:rPr>
                <w:rFonts w:ascii="仿宋" w:hAnsi="仿宋" w:eastAsia="仿宋" w:cs="仿宋"/>
                <w:sz w:val="20"/>
                <w:szCs w:val="20"/>
                <w:highlight w:val="yellow"/>
              </w:rPr>
            </w:pPr>
            <w:r>
              <w:rPr>
                <w:rFonts w:hint="eastAsia" w:ascii="仿宋" w:hAnsi="仿宋" w:eastAsia="仿宋" w:cs="仿宋"/>
                <w:sz w:val="20"/>
                <w:szCs w:val="20"/>
              </w:rPr>
              <w:t>4</w:t>
            </w:r>
          </w:p>
        </w:tc>
        <w:tc>
          <w:tcPr>
            <w:tcW w:w="325" w:type="pct"/>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44</w:t>
            </w:r>
          </w:p>
        </w:tc>
        <w:tc>
          <w:tcPr>
            <w:tcW w:w="317" w:type="pct"/>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29</w:t>
            </w:r>
          </w:p>
        </w:tc>
        <w:tc>
          <w:tcPr>
            <w:tcW w:w="342" w:type="pct"/>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36</w:t>
            </w:r>
          </w:p>
        </w:tc>
        <w:tc>
          <w:tcPr>
            <w:tcW w:w="384" w:type="pct"/>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6</w:t>
            </w:r>
          </w:p>
        </w:tc>
        <w:tc>
          <w:tcPr>
            <w:tcW w:w="605" w:type="pct"/>
            <w:tcMar>
              <w:top w:w="28" w:type="dxa"/>
              <w:left w:w="28" w:type="dxa"/>
              <w:bottom w:w="28" w:type="dxa"/>
              <w:right w:w="28" w:type="dxa"/>
            </w:tcMar>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154</w:t>
            </w:r>
          </w:p>
        </w:tc>
      </w:tr>
    </w:tbl>
    <w:p>
      <w:pPr>
        <w:spacing w:line="480" w:lineRule="exact"/>
        <w:ind w:firstLine="482" w:firstLineChars="200"/>
        <w:rPr>
          <w:rFonts w:ascii="黑体" w:hAnsi="黑体" w:eastAsia="黑体" w:cs="黑体"/>
          <w:b/>
          <w:sz w:val="24"/>
          <w:szCs w:val="24"/>
        </w:rPr>
      </w:pPr>
      <w:r>
        <w:rPr>
          <w:rFonts w:hint="eastAsia" w:ascii="黑体" w:hAnsi="黑体" w:eastAsia="黑体" w:cs="黑体"/>
          <w:b/>
          <w:sz w:val="24"/>
          <w:szCs w:val="24"/>
        </w:rPr>
        <w:t>（二）英语、计算机要求</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学生在校期间可根据自己实际或兴趣，推荐参加英语应用能力考试</w:t>
      </w:r>
      <w:r>
        <w:rPr>
          <w:rFonts w:ascii="华文仿宋" w:hAnsi="华文仿宋" w:eastAsia="华文仿宋"/>
          <w:sz w:val="24"/>
          <w:szCs w:val="24"/>
        </w:rPr>
        <w:t>B</w:t>
      </w:r>
      <w:r>
        <w:rPr>
          <w:rFonts w:hint="eastAsia" w:ascii="华文仿宋" w:hAnsi="华文仿宋" w:eastAsia="华文仿宋"/>
          <w:sz w:val="24"/>
          <w:szCs w:val="24"/>
        </w:rPr>
        <w:t>级及以上证书和计算机一级及以上证书。</w:t>
      </w:r>
    </w:p>
    <w:p>
      <w:pPr>
        <w:spacing w:line="480" w:lineRule="exact"/>
        <w:ind w:firstLine="482" w:firstLineChars="200"/>
        <w:rPr>
          <w:rFonts w:ascii="黑体" w:hAnsi="黑体" w:eastAsia="黑体" w:cs="黑体"/>
          <w:b/>
          <w:sz w:val="24"/>
          <w:szCs w:val="24"/>
        </w:rPr>
      </w:pPr>
      <w:r>
        <w:rPr>
          <w:rFonts w:hint="eastAsia" w:ascii="黑体" w:hAnsi="黑体" w:eastAsia="黑体" w:cs="黑体"/>
          <w:b/>
          <w:sz w:val="24"/>
          <w:szCs w:val="24"/>
        </w:rPr>
        <w:t>（三）职业资格证书要求</w:t>
      </w:r>
    </w:p>
    <w:p>
      <w:pPr>
        <w:spacing w:line="480" w:lineRule="exact"/>
        <w:ind w:firstLine="480" w:firstLineChars="200"/>
        <w:rPr>
          <w:rFonts w:ascii="华文仿宋" w:hAnsi="华文仿宋" w:eastAsia="华文仿宋"/>
          <w:sz w:val="24"/>
          <w:szCs w:val="24"/>
        </w:rPr>
      </w:pPr>
      <w:r>
        <w:rPr>
          <w:rFonts w:hint="eastAsia" w:ascii="华文仿宋" w:hAnsi="华文仿宋" w:eastAsia="华文仿宋"/>
          <w:sz w:val="24"/>
          <w:szCs w:val="24"/>
        </w:rPr>
        <w:t>学生按照所学规定课程和选修的相关课程，根据自己的兴趣和未来职业发展取向，鼓励参加国家考试中心、政府部门组织的考试，获取相关职业资格证书，为将来就业、创业打好基础。</w:t>
      </w:r>
    </w:p>
    <w:p>
      <w:pPr>
        <w:autoSpaceDE w:val="0"/>
        <w:autoSpaceDN w:val="0"/>
        <w:adjustRightInd w:val="0"/>
        <w:ind w:firstLine="400" w:firstLineChars="200"/>
        <w:jc w:val="center"/>
        <w:rPr>
          <w:rFonts w:ascii="华文仿宋" w:hAnsi="华文仿宋" w:eastAsia="华文仿宋"/>
          <w:sz w:val="20"/>
          <w:szCs w:val="20"/>
        </w:rPr>
      </w:pPr>
      <w:r>
        <w:rPr>
          <w:rFonts w:hint="eastAsia" w:ascii="华文仿宋" w:hAnsi="华文仿宋" w:eastAsia="华文仿宋"/>
          <w:sz w:val="20"/>
          <w:szCs w:val="20"/>
        </w:rPr>
        <w:t>表8  建筑工程技术专业学生资格证书要求一览表</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3052"/>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8" w:type="pct"/>
            <w:vAlign w:val="center"/>
          </w:tcPr>
          <w:p>
            <w:pPr>
              <w:jc w:val="center"/>
              <w:rPr>
                <w:rFonts w:ascii="仿宋" w:hAnsi="仿宋" w:eastAsia="仿宋" w:cs="仿宋"/>
                <w:b/>
                <w:bCs/>
                <w:sz w:val="20"/>
                <w:szCs w:val="20"/>
              </w:rPr>
            </w:pPr>
            <w:r>
              <w:rPr>
                <w:rFonts w:hint="eastAsia" w:ascii="仿宋" w:hAnsi="仿宋" w:eastAsia="仿宋" w:cs="仿宋"/>
                <w:b/>
                <w:bCs/>
                <w:sz w:val="20"/>
                <w:szCs w:val="20"/>
              </w:rPr>
              <w:t>序号</w:t>
            </w:r>
          </w:p>
        </w:tc>
        <w:tc>
          <w:tcPr>
            <w:tcW w:w="1791" w:type="pct"/>
            <w:vAlign w:val="center"/>
          </w:tcPr>
          <w:p>
            <w:pPr>
              <w:jc w:val="center"/>
              <w:rPr>
                <w:rFonts w:ascii="仿宋" w:hAnsi="仿宋" w:eastAsia="仿宋" w:cs="仿宋"/>
                <w:b/>
                <w:bCs/>
                <w:sz w:val="20"/>
                <w:szCs w:val="20"/>
              </w:rPr>
            </w:pPr>
            <w:r>
              <w:rPr>
                <w:rFonts w:hint="eastAsia" w:ascii="仿宋" w:hAnsi="仿宋" w:eastAsia="仿宋" w:cs="仿宋"/>
                <w:b/>
                <w:bCs/>
                <w:sz w:val="20"/>
                <w:szCs w:val="20"/>
              </w:rPr>
              <w:t>考证级别</w:t>
            </w:r>
          </w:p>
        </w:tc>
        <w:tc>
          <w:tcPr>
            <w:tcW w:w="1250" w:type="pct"/>
            <w:vAlign w:val="center"/>
          </w:tcPr>
          <w:p>
            <w:pPr>
              <w:jc w:val="center"/>
              <w:rPr>
                <w:rFonts w:ascii="仿宋" w:hAnsi="仿宋" w:eastAsia="仿宋" w:cs="仿宋"/>
                <w:b/>
                <w:bCs/>
                <w:sz w:val="20"/>
                <w:szCs w:val="20"/>
              </w:rPr>
            </w:pPr>
            <w:r>
              <w:rPr>
                <w:rFonts w:hint="eastAsia" w:ascii="仿宋" w:hAnsi="仿宋" w:eastAsia="仿宋" w:cs="仿宋"/>
                <w:b/>
                <w:bCs/>
                <w:sz w:val="20"/>
                <w:szCs w:val="20"/>
              </w:rPr>
              <w:t>颁证机构</w:t>
            </w:r>
          </w:p>
        </w:tc>
        <w:tc>
          <w:tcPr>
            <w:tcW w:w="1250" w:type="pct"/>
            <w:vAlign w:val="center"/>
          </w:tcPr>
          <w:p>
            <w:pPr>
              <w:jc w:val="center"/>
              <w:rPr>
                <w:rFonts w:ascii="仿宋" w:hAnsi="仿宋" w:eastAsia="仿宋" w:cs="仿宋"/>
                <w:b/>
                <w:bCs/>
                <w:sz w:val="20"/>
                <w:szCs w:val="20"/>
              </w:rPr>
            </w:pPr>
            <w:r>
              <w:rPr>
                <w:rFonts w:hint="eastAsia" w:ascii="仿宋" w:hAnsi="仿宋" w:eastAsia="仿宋" w:cs="仿宋"/>
                <w:b/>
                <w:bCs/>
                <w:sz w:val="20"/>
                <w:szCs w:val="20"/>
              </w:rPr>
              <w:t>获证要求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8"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1</w:t>
            </w:r>
          </w:p>
        </w:tc>
        <w:tc>
          <w:tcPr>
            <w:tcW w:w="1791"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建筑CAD</w:t>
            </w:r>
          </w:p>
        </w:tc>
        <w:tc>
          <w:tcPr>
            <w:tcW w:w="1250"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行业主管部门</w:t>
            </w:r>
          </w:p>
        </w:tc>
        <w:tc>
          <w:tcPr>
            <w:tcW w:w="1250"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8"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2</w:t>
            </w:r>
          </w:p>
        </w:tc>
        <w:tc>
          <w:tcPr>
            <w:tcW w:w="1791"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BIM一级证书</w:t>
            </w:r>
          </w:p>
        </w:tc>
        <w:tc>
          <w:tcPr>
            <w:tcW w:w="1250"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行业主管部门</w:t>
            </w:r>
          </w:p>
        </w:tc>
        <w:tc>
          <w:tcPr>
            <w:tcW w:w="1250" w:type="pct"/>
          </w:tcPr>
          <w:p>
            <w:pPr>
              <w:spacing w:line="240" w:lineRule="exact"/>
              <w:jc w:val="center"/>
              <w:rPr>
                <w:rFonts w:ascii="仿宋" w:hAnsi="仿宋" w:eastAsia="仿宋" w:cs="仿宋"/>
                <w:sz w:val="20"/>
                <w:szCs w:val="20"/>
              </w:rPr>
            </w:pPr>
            <w:r>
              <w:rPr>
                <w:rFonts w:hint="eastAsia" w:ascii="仿宋" w:hAnsi="仿宋" w:eastAsia="仿宋" w:cs="仿宋"/>
                <w:sz w:val="20"/>
                <w:szCs w:val="20"/>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8"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3</w:t>
            </w:r>
          </w:p>
        </w:tc>
        <w:tc>
          <w:tcPr>
            <w:tcW w:w="1791"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施工员</w:t>
            </w:r>
          </w:p>
        </w:tc>
        <w:tc>
          <w:tcPr>
            <w:tcW w:w="1250"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行业主管部门</w:t>
            </w:r>
          </w:p>
        </w:tc>
        <w:tc>
          <w:tcPr>
            <w:tcW w:w="1250" w:type="pct"/>
          </w:tcPr>
          <w:p>
            <w:pPr>
              <w:spacing w:line="240" w:lineRule="exact"/>
              <w:jc w:val="center"/>
              <w:rPr>
                <w:rFonts w:ascii="仿宋" w:hAnsi="仿宋" w:eastAsia="仿宋" w:cs="仿宋"/>
                <w:sz w:val="20"/>
                <w:szCs w:val="20"/>
              </w:rPr>
            </w:pPr>
            <w:r>
              <w:rPr>
                <w:rFonts w:hint="eastAsia" w:ascii="仿宋" w:hAnsi="仿宋" w:eastAsia="仿宋" w:cs="仿宋"/>
                <w:sz w:val="20"/>
                <w:szCs w:val="20"/>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8"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4</w:t>
            </w:r>
          </w:p>
        </w:tc>
        <w:tc>
          <w:tcPr>
            <w:tcW w:w="1791"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质量员</w:t>
            </w:r>
          </w:p>
        </w:tc>
        <w:tc>
          <w:tcPr>
            <w:tcW w:w="1250"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行业主管部门</w:t>
            </w:r>
          </w:p>
        </w:tc>
        <w:tc>
          <w:tcPr>
            <w:tcW w:w="1250" w:type="pct"/>
          </w:tcPr>
          <w:p>
            <w:pPr>
              <w:spacing w:line="240" w:lineRule="exact"/>
              <w:jc w:val="center"/>
              <w:rPr>
                <w:rFonts w:ascii="仿宋" w:hAnsi="仿宋" w:eastAsia="仿宋" w:cs="仿宋"/>
                <w:sz w:val="20"/>
                <w:szCs w:val="20"/>
              </w:rPr>
            </w:pPr>
            <w:r>
              <w:rPr>
                <w:rFonts w:hint="eastAsia" w:ascii="仿宋" w:hAnsi="仿宋" w:eastAsia="仿宋" w:cs="仿宋"/>
                <w:sz w:val="20"/>
                <w:szCs w:val="20"/>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8"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5</w:t>
            </w:r>
          </w:p>
        </w:tc>
        <w:tc>
          <w:tcPr>
            <w:tcW w:w="1791"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安全员</w:t>
            </w:r>
          </w:p>
        </w:tc>
        <w:tc>
          <w:tcPr>
            <w:tcW w:w="1250"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行业主管部门</w:t>
            </w:r>
          </w:p>
        </w:tc>
        <w:tc>
          <w:tcPr>
            <w:tcW w:w="1250" w:type="pct"/>
          </w:tcPr>
          <w:p>
            <w:pPr>
              <w:spacing w:line="240" w:lineRule="exact"/>
              <w:jc w:val="center"/>
              <w:rPr>
                <w:rFonts w:ascii="仿宋" w:hAnsi="仿宋" w:eastAsia="仿宋" w:cs="仿宋"/>
                <w:sz w:val="20"/>
                <w:szCs w:val="20"/>
              </w:rPr>
            </w:pPr>
            <w:r>
              <w:rPr>
                <w:rFonts w:hint="eastAsia" w:ascii="仿宋" w:hAnsi="仿宋" w:eastAsia="仿宋" w:cs="仿宋"/>
                <w:sz w:val="20"/>
                <w:szCs w:val="20"/>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8"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6</w:t>
            </w:r>
          </w:p>
        </w:tc>
        <w:tc>
          <w:tcPr>
            <w:tcW w:w="1791"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监理员</w:t>
            </w:r>
          </w:p>
        </w:tc>
        <w:tc>
          <w:tcPr>
            <w:tcW w:w="1250"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行业主管部门</w:t>
            </w:r>
          </w:p>
        </w:tc>
        <w:tc>
          <w:tcPr>
            <w:tcW w:w="1250" w:type="pct"/>
          </w:tcPr>
          <w:p>
            <w:pPr>
              <w:spacing w:line="240" w:lineRule="exact"/>
              <w:jc w:val="center"/>
              <w:rPr>
                <w:rFonts w:ascii="仿宋" w:hAnsi="仿宋" w:eastAsia="仿宋" w:cs="仿宋"/>
                <w:sz w:val="20"/>
                <w:szCs w:val="20"/>
              </w:rPr>
            </w:pPr>
            <w:r>
              <w:rPr>
                <w:rFonts w:hint="eastAsia" w:ascii="仿宋" w:hAnsi="仿宋" w:eastAsia="仿宋" w:cs="仿宋"/>
                <w:sz w:val="20"/>
                <w:szCs w:val="20"/>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8"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7</w:t>
            </w:r>
          </w:p>
        </w:tc>
        <w:tc>
          <w:tcPr>
            <w:tcW w:w="1791"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资料员</w:t>
            </w:r>
          </w:p>
        </w:tc>
        <w:tc>
          <w:tcPr>
            <w:tcW w:w="1250"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行业主管部门</w:t>
            </w:r>
          </w:p>
        </w:tc>
        <w:tc>
          <w:tcPr>
            <w:tcW w:w="1250" w:type="pct"/>
          </w:tcPr>
          <w:p>
            <w:pPr>
              <w:spacing w:line="240" w:lineRule="exact"/>
              <w:jc w:val="center"/>
              <w:rPr>
                <w:rFonts w:ascii="仿宋" w:hAnsi="仿宋" w:eastAsia="仿宋" w:cs="仿宋"/>
                <w:sz w:val="20"/>
                <w:szCs w:val="20"/>
              </w:rPr>
            </w:pPr>
            <w:r>
              <w:rPr>
                <w:rFonts w:hint="eastAsia" w:ascii="仿宋" w:hAnsi="仿宋" w:eastAsia="仿宋" w:cs="仿宋"/>
                <w:sz w:val="20"/>
                <w:szCs w:val="20"/>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08"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8</w:t>
            </w:r>
          </w:p>
        </w:tc>
        <w:tc>
          <w:tcPr>
            <w:tcW w:w="1791"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预算员</w:t>
            </w:r>
          </w:p>
        </w:tc>
        <w:tc>
          <w:tcPr>
            <w:tcW w:w="1250" w:type="pct"/>
            <w:vAlign w:val="center"/>
          </w:tcPr>
          <w:p>
            <w:pPr>
              <w:spacing w:line="240" w:lineRule="exact"/>
              <w:jc w:val="center"/>
              <w:rPr>
                <w:rFonts w:ascii="仿宋" w:hAnsi="仿宋" w:eastAsia="仿宋" w:cs="仿宋"/>
                <w:sz w:val="20"/>
                <w:szCs w:val="20"/>
              </w:rPr>
            </w:pPr>
            <w:r>
              <w:rPr>
                <w:rFonts w:hint="eastAsia" w:ascii="仿宋" w:hAnsi="仿宋" w:eastAsia="仿宋" w:cs="仿宋"/>
                <w:sz w:val="20"/>
                <w:szCs w:val="20"/>
              </w:rPr>
              <w:t>行业主管部门</w:t>
            </w:r>
          </w:p>
        </w:tc>
        <w:tc>
          <w:tcPr>
            <w:tcW w:w="1250" w:type="pct"/>
          </w:tcPr>
          <w:p>
            <w:pPr>
              <w:spacing w:line="240" w:lineRule="exact"/>
              <w:jc w:val="center"/>
              <w:rPr>
                <w:rFonts w:ascii="仿宋" w:hAnsi="仿宋" w:eastAsia="仿宋" w:cs="仿宋"/>
                <w:sz w:val="20"/>
                <w:szCs w:val="20"/>
              </w:rPr>
            </w:pPr>
            <w:r>
              <w:rPr>
                <w:rFonts w:hint="eastAsia" w:ascii="仿宋" w:hAnsi="仿宋" w:eastAsia="仿宋" w:cs="仿宋"/>
                <w:sz w:val="20"/>
                <w:szCs w:val="20"/>
              </w:rPr>
              <w:t>可选</w:t>
            </w:r>
          </w:p>
        </w:tc>
      </w:tr>
    </w:tbl>
    <w:p>
      <w:pPr>
        <w:widowControl/>
        <w:spacing w:line="360" w:lineRule="auto"/>
        <w:jc w:val="right"/>
        <w:rPr>
          <w:rFonts w:ascii="仿宋" w:hAnsi="仿宋" w:eastAsia="仿宋"/>
          <w:sz w:val="24"/>
          <w:szCs w:val="24"/>
        </w:rPr>
      </w:pPr>
    </w:p>
    <w:p>
      <w:pPr>
        <w:spacing w:line="480" w:lineRule="exact"/>
        <w:rPr>
          <w:rFonts w:hint="eastAsia" w:ascii="华文仿宋" w:hAnsi="华文仿宋" w:eastAsia="华文仿宋"/>
          <w:b/>
          <w:sz w:val="30"/>
          <w:szCs w:val="30"/>
        </w:rPr>
      </w:pPr>
      <w:r>
        <w:rPr>
          <w:rFonts w:hint="eastAsia" w:ascii="华文仿宋" w:hAnsi="华文仿宋" w:eastAsia="华文仿宋"/>
          <w:b/>
          <w:sz w:val="30"/>
          <w:szCs w:val="30"/>
        </w:rPr>
        <w:t>十、编制人员</w:t>
      </w:r>
    </w:p>
    <w:p>
      <w:pPr>
        <w:spacing w:line="480" w:lineRule="exact"/>
        <w:ind w:firstLine="480" w:firstLineChars="200"/>
        <w:rPr>
          <w:rFonts w:hint="eastAsia" w:ascii="华文仿宋" w:hAnsi="华文仿宋" w:eastAsia="华文仿宋"/>
          <w:b/>
          <w:sz w:val="24"/>
          <w:szCs w:val="24"/>
        </w:rPr>
      </w:pPr>
      <w:r>
        <w:rPr>
          <w:rFonts w:hint="eastAsia" w:ascii="华文仿宋" w:hAnsi="华文仿宋" w:eastAsia="华文仿宋"/>
          <w:b/>
          <w:sz w:val="24"/>
          <w:szCs w:val="24"/>
        </w:rPr>
        <w:t>1 校内编制人员</w:t>
      </w:r>
    </w:p>
    <w:p>
      <w:pPr>
        <w:spacing w:line="480" w:lineRule="exact"/>
        <w:ind w:firstLine="480" w:firstLineChars="200"/>
        <w:rPr>
          <w:rFonts w:hint="eastAsia" w:ascii="华文仿宋" w:hAnsi="华文仿宋" w:eastAsia="华文仿宋"/>
          <w:sz w:val="24"/>
          <w:szCs w:val="24"/>
        </w:rPr>
      </w:pPr>
      <w:r>
        <w:rPr>
          <w:rFonts w:hint="eastAsia" w:ascii="华文仿宋" w:hAnsi="华文仿宋" w:eastAsia="华文仿宋"/>
          <w:sz w:val="24"/>
          <w:szCs w:val="24"/>
          <w:lang w:val="en-US" w:eastAsia="zh-CN"/>
        </w:rPr>
        <w:t xml:space="preserve">李建华 </w:t>
      </w:r>
      <w:r>
        <w:rPr>
          <w:rFonts w:hint="eastAsia" w:ascii="华文仿宋" w:hAnsi="华文仿宋" w:eastAsia="华文仿宋"/>
          <w:sz w:val="24"/>
          <w:szCs w:val="24"/>
        </w:rPr>
        <w:t xml:space="preserve">陈宇峰 张宪江 黄昆 李超 谢恩普 纪幸乐 </w:t>
      </w:r>
    </w:p>
    <w:p>
      <w:pPr>
        <w:spacing w:line="480" w:lineRule="exact"/>
        <w:ind w:firstLine="480" w:firstLineChars="200"/>
        <w:rPr>
          <w:rFonts w:hint="eastAsia" w:ascii="华文仿宋" w:hAnsi="华文仿宋" w:eastAsia="华文仿宋"/>
          <w:b/>
          <w:sz w:val="24"/>
        </w:rPr>
      </w:pPr>
      <w:r>
        <w:rPr>
          <w:rFonts w:hint="eastAsia" w:ascii="华文仿宋" w:hAnsi="华文仿宋" w:eastAsia="华文仿宋"/>
          <w:b/>
          <w:sz w:val="24"/>
          <w:szCs w:val="24"/>
        </w:rPr>
        <w:t>2</w:t>
      </w:r>
      <w:r>
        <w:rPr>
          <w:rFonts w:hint="eastAsia" w:ascii="华文仿宋" w:hAnsi="华文仿宋" w:eastAsia="华文仿宋"/>
          <w:b/>
          <w:sz w:val="24"/>
        </w:rPr>
        <w:t>行业企业专家团队</w:t>
      </w:r>
    </w:p>
    <w:p>
      <w:pPr>
        <w:spacing w:line="480" w:lineRule="exact"/>
        <w:ind w:firstLine="480" w:firstLineChars="200"/>
        <w:rPr>
          <w:rFonts w:hint="eastAsia" w:ascii="华文仿宋" w:hAnsi="华文仿宋" w:eastAsia="华文仿宋"/>
          <w:sz w:val="24"/>
        </w:rPr>
      </w:pPr>
      <w:r>
        <w:rPr>
          <w:rFonts w:hint="eastAsia" w:ascii="华文仿宋" w:hAnsi="华文仿宋" w:eastAsia="华文仿宋"/>
          <w:sz w:val="24"/>
        </w:rPr>
        <w:t xml:space="preserve">姚新良  崔霆  张钰灵 李建峰  </w:t>
      </w:r>
      <w:bookmarkStart w:id="9" w:name="_GoBack"/>
      <w:bookmarkEnd w:id="9"/>
    </w:p>
    <w:p>
      <w:pPr>
        <w:wordWrap/>
        <w:autoSpaceDE w:val="0"/>
        <w:autoSpaceDN w:val="0"/>
        <w:adjustRightInd w:val="0"/>
        <w:spacing w:line="360" w:lineRule="auto"/>
        <w:jc w:val="left"/>
        <w:rPr>
          <w:rFonts w:ascii="仿宋" w:hAnsi="仿宋" w:eastAsia="仿宋"/>
          <w:sz w:val="24"/>
          <w:szCs w:val="24"/>
        </w:rPr>
        <w:sectPr>
          <w:footerReference r:id="rId3" w:type="default"/>
          <w:pgSz w:w="11906" w:h="16838"/>
          <w:pgMar w:top="1440" w:right="1800" w:bottom="1440" w:left="1800" w:header="851" w:footer="992" w:gutter="0"/>
          <w:pgNumType w:fmt="numberInDash" w:start="1"/>
          <w:cols w:space="720" w:num="1"/>
          <w:docGrid w:type="lines" w:linePitch="312" w:charSpace="0"/>
        </w:sectPr>
      </w:pPr>
      <w:r>
        <w:rPr>
          <w:rFonts w:hint="eastAsia" w:ascii="仿宋" w:hAnsi="仿宋" w:eastAsia="仿宋"/>
          <w:sz w:val="24"/>
          <w:szCs w:val="24"/>
        </w:rPr>
        <w:t xml:space="preserve"> </w:t>
      </w:r>
    </w:p>
    <w:p>
      <w:pPr>
        <w:autoSpaceDE w:val="0"/>
        <w:autoSpaceDN w:val="0"/>
        <w:adjustRightInd w:val="0"/>
        <w:jc w:val="left"/>
        <w:rPr>
          <w:rFonts w:ascii="仿宋" w:hAnsi="仿宋" w:eastAsia="仿宋"/>
          <w:sz w:val="24"/>
          <w:szCs w:val="24"/>
        </w:rPr>
      </w:pPr>
      <w:bookmarkStart w:id="8" w:name="附件"/>
      <w:bookmarkEnd w:id="8"/>
      <w:r>
        <w:rPr>
          <w:rFonts w:ascii="仿宋" w:hAnsi="仿宋" w:eastAsia="仿宋" w:cs="宋体"/>
          <w:b/>
          <w:color w:val="000000"/>
          <w:kern w:val="0"/>
          <w:szCs w:val="21"/>
        </w:rPr>
        <mc:AlternateContent>
          <mc:Choice Requires="wps">
            <w:drawing>
              <wp:anchor distT="0" distB="0" distL="114300" distR="114300" simplePos="0" relativeHeight="251662336" behindDoc="0" locked="0" layoutInCell="1" allowOverlap="1">
                <wp:simplePos x="0" y="0"/>
                <wp:positionH relativeFrom="column">
                  <wp:posOffset>57785</wp:posOffset>
                </wp:positionH>
                <wp:positionV relativeFrom="paragraph">
                  <wp:posOffset>-165100</wp:posOffset>
                </wp:positionV>
                <wp:extent cx="3959225" cy="1403985"/>
                <wp:effectExtent l="0" t="0" r="3175" b="635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959225" cy="1403985"/>
                        </a:xfrm>
                        <a:prstGeom prst="rect">
                          <a:avLst/>
                        </a:prstGeom>
                        <a:solidFill>
                          <a:srgbClr val="FFFFFF"/>
                        </a:solidFill>
                        <a:ln w="9525">
                          <a:noFill/>
                          <a:miter lim="800000"/>
                        </a:ln>
                      </wps:spPr>
                      <wps:txbx>
                        <w:txbxContent>
                          <w:p>
                            <w:pPr>
                              <w:rPr>
                                <w:rFonts w:ascii="黑体" w:hAnsi="黑体" w:eastAsia="黑体"/>
                                <w:b/>
                                <w:sz w:val="24"/>
                              </w:rPr>
                            </w:pPr>
                            <w:r>
                              <w:rPr>
                                <w:rFonts w:hint="eastAsia" w:ascii="黑体" w:hAnsi="黑体" w:eastAsia="黑体"/>
                                <w:b/>
                                <w:sz w:val="24"/>
                              </w:rPr>
                              <w:t>附件1《2021级建筑工程技术专业教学进程安排表》</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4.55pt;margin-top:-13pt;height:110.55pt;width:311.75pt;z-index:251662336;mso-width-relative:page;mso-height-relative:page;" fillcolor="#FFFFFF" filled="t" stroked="f" coordsize="21600,21600" o:gfxdata="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LNFIPWAAAACQEAAA8AAAAAAAAAAQAgAAAAIgAAAGRycy9k&#10;b3ducmV2LnhtbFBLAQIUABQAAAAIAIdO4kDZ2SfyPQIAAFUEAAAOAAAAAAAAAAEAIAAAACUBAABk&#10;cnMvZTJvRG9jLnhtbFBLBQYAAAAABgAGAFkBAADUBQAAAAA=&#10;">
                <v:fill on="t" focussize="0,0"/>
                <v:stroke on="f" miterlimit="8" joinstyle="miter"/>
                <v:imagedata o:title=""/>
                <o:lock v:ext="edit" aspectratio="f"/>
                <v:textbox style="mso-fit-shape-to-text:t;">
                  <w:txbxContent>
                    <w:p>
                      <w:pPr>
                        <w:rPr>
                          <w:rFonts w:ascii="黑体" w:hAnsi="黑体" w:eastAsia="黑体"/>
                          <w:b/>
                          <w:sz w:val="24"/>
                        </w:rPr>
                      </w:pPr>
                      <w:r>
                        <w:rPr>
                          <w:rFonts w:hint="eastAsia" w:ascii="黑体" w:hAnsi="黑体" w:eastAsia="黑体"/>
                          <w:b/>
                          <w:sz w:val="24"/>
                        </w:rPr>
                        <w:t>附件1《2021级建筑工程技术专业教学进程安排表》</w:t>
                      </w:r>
                    </w:p>
                  </w:txbxContent>
                </v:textbox>
              </v:shape>
            </w:pict>
          </mc:Fallback>
        </mc:AlternateContent>
      </w:r>
    </w:p>
    <w:tbl>
      <w:tblPr>
        <w:tblStyle w:val="10"/>
        <w:tblW w:w="5000" w:type="pct"/>
        <w:tblInd w:w="0" w:type="dxa"/>
        <w:tblLayout w:type="fixed"/>
        <w:tblCellMar>
          <w:top w:w="0" w:type="dxa"/>
          <w:left w:w="108" w:type="dxa"/>
          <w:bottom w:w="0" w:type="dxa"/>
          <w:right w:w="108" w:type="dxa"/>
        </w:tblCellMar>
      </w:tblPr>
      <w:tblGrid>
        <w:gridCol w:w="535"/>
        <w:gridCol w:w="544"/>
        <w:gridCol w:w="612"/>
        <w:gridCol w:w="1596"/>
        <w:gridCol w:w="2356"/>
        <w:gridCol w:w="703"/>
        <w:gridCol w:w="850"/>
        <w:gridCol w:w="850"/>
        <w:gridCol w:w="992"/>
        <w:gridCol w:w="709"/>
        <w:gridCol w:w="729"/>
        <w:gridCol w:w="573"/>
        <w:gridCol w:w="573"/>
        <w:gridCol w:w="573"/>
        <w:gridCol w:w="573"/>
        <w:gridCol w:w="692"/>
        <w:gridCol w:w="714"/>
      </w:tblGrid>
      <w:tr>
        <w:tblPrEx>
          <w:tblCellMar>
            <w:top w:w="0" w:type="dxa"/>
            <w:left w:w="108" w:type="dxa"/>
            <w:bottom w:w="0" w:type="dxa"/>
            <w:right w:w="108" w:type="dxa"/>
          </w:tblCellMar>
        </w:tblPrEx>
        <w:trPr>
          <w:trHeight w:val="285" w:hRule="atLeast"/>
          <w:tblHeader/>
        </w:trPr>
        <w:tc>
          <w:tcPr>
            <w:tcW w:w="597" w:type="pct"/>
            <w:gridSpan w:val="3"/>
            <w:vMerge w:val="restart"/>
            <w:tcBorders>
              <w:top w:val="single" w:color="auto" w:sz="4" w:space="0"/>
              <w:left w:val="single" w:color="auto" w:sz="4" w:space="0"/>
              <w:right w:val="single" w:color="000000" w:sz="4" w:space="0"/>
            </w:tcBorders>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课程类型</w:t>
            </w:r>
          </w:p>
        </w:tc>
        <w:tc>
          <w:tcPr>
            <w:tcW w:w="563"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课程代码</w:t>
            </w:r>
          </w:p>
        </w:tc>
        <w:tc>
          <w:tcPr>
            <w:tcW w:w="8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课程名称</w:t>
            </w:r>
          </w:p>
        </w:tc>
        <w:tc>
          <w:tcPr>
            <w:tcW w:w="24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学分</w:t>
            </w:r>
          </w:p>
        </w:tc>
        <w:tc>
          <w:tcPr>
            <w:tcW w:w="950"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教学时数</w:t>
            </w:r>
          </w:p>
        </w:tc>
        <w:tc>
          <w:tcPr>
            <w:tcW w:w="25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考试学期</w:t>
            </w:r>
          </w:p>
        </w:tc>
        <w:tc>
          <w:tcPr>
            <w:tcW w:w="257"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考查学期</w:t>
            </w:r>
          </w:p>
        </w:tc>
        <w:tc>
          <w:tcPr>
            <w:tcW w:w="1305"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各学期周学时分配</w:t>
            </w:r>
          </w:p>
        </w:tc>
      </w:tr>
      <w:tr>
        <w:tblPrEx>
          <w:tblCellMar>
            <w:top w:w="0" w:type="dxa"/>
            <w:left w:w="108" w:type="dxa"/>
            <w:bottom w:w="0" w:type="dxa"/>
            <w:right w:w="108" w:type="dxa"/>
          </w:tblCellMar>
        </w:tblPrEx>
        <w:trPr>
          <w:trHeight w:val="285" w:hRule="atLeast"/>
          <w:tblHeader/>
        </w:trPr>
        <w:tc>
          <w:tcPr>
            <w:tcW w:w="597" w:type="pct"/>
            <w:gridSpan w:val="3"/>
            <w:vMerge w:val="continue"/>
            <w:tcBorders>
              <w:left w:val="single" w:color="auto" w:sz="4" w:space="0"/>
              <w:right w:val="single" w:color="000000" w:sz="4" w:space="0"/>
            </w:tcBorders>
            <w:vAlign w:val="center"/>
          </w:tcPr>
          <w:p>
            <w:pPr>
              <w:jc w:val="center"/>
              <w:rPr>
                <w:rFonts w:ascii="仿宋" w:hAnsi="仿宋" w:eastAsia="仿宋" w:cs="仿宋"/>
                <w:color w:val="000000"/>
                <w:sz w:val="18"/>
                <w:szCs w:val="18"/>
              </w:rPr>
            </w:pPr>
          </w:p>
        </w:tc>
        <w:tc>
          <w:tcPr>
            <w:tcW w:w="563"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8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30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总学时</w:t>
            </w:r>
          </w:p>
        </w:tc>
        <w:tc>
          <w:tcPr>
            <w:tcW w:w="30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理论教学</w:t>
            </w:r>
          </w:p>
        </w:tc>
        <w:tc>
          <w:tcPr>
            <w:tcW w:w="35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实践教学</w:t>
            </w:r>
          </w:p>
        </w:tc>
        <w:tc>
          <w:tcPr>
            <w:tcW w:w="25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40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第一学年</w:t>
            </w:r>
          </w:p>
        </w:tc>
        <w:tc>
          <w:tcPr>
            <w:tcW w:w="40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第二学年</w:t>
            </w:r>
          </w:p>
        </w:tc>
        <w:tc>
          <w:tcPr>
            <w:tcW w:w="496"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第三学年</w:t>
            </w:r>
          </w:p>
        </w:tc>
      </w:tr>
      <w:tr>
        <w:tblPrEx>
          <w:tblCellMar>
            <w:top w:w="0" w:type="dxa"/>
            <w:left w:w="108" w:type="dxa"/>
            <w:bottom w:w="0" w:type="dxa"/>
            <w:right w:w="108" w:type="dxa"/>
          </w:tblCellMar>
        </w:tblPrEx>
        <w:trPr>
          <w:trHeight w:val="142" w:hRule="atLeast"/>
          <w:tblHeader/>
        </w:trPr>
        <w:tc>
          <w:tcPr>
            <w:tcW w:w="597" w:type="pct"/>
            <w:gridSpan w:val="3"/>
            <w:vMerge w:val="continue"/>
            <w:tcBorders>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r>
      <w:tr>
        <w:tblPrEx>
          <w:tblCellMar>
            <w:top w:w="0" w:type="dxa"/>
            <w:left w:w="108" w:type="dxa"/>
            <w:bottom w:w="0" w:type="dxa"/>
            <w:right w:w="108" w:type="dxa"/>
          </w:tblCellMar>
        </w:tblPrEx>
        <w:trPr>
          <w:trHeight w:val="285" w:hRule="atLeast"/>
        </w:trPr>
        <w:tc>
          <w:tcPr>
            <w:tcW w:w="189"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公共基础课</w:t>
            </w:r>
          </w:p>
        </w:tc>
        <w:tc>
          <w:tcPr>
            <w:tcW w:w="4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公共基础</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18"/>
                <w:szCs w:val="18"/>
                <w:lang w:bidi="ar"/>
              </w:rPr>
              <w:t>必修课</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2000B01</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军事技能</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rPr>
          <w:trHeight w:val="285" w:hRule="atLeast"/>
        </w:trPr>
        <w:tc>
          <w:tcPr>
            <w:tcW w:w="189"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 w:val="18"/>
                <w:szCs w:val="18"/>
              </w:rPr>
            </w:pPr>
          </w:p>
        </w:tc>
        <w:tc>
          <w:tcPr>
            <w:tcW w:w="408"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2000B02</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军事理论</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3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2000B03</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kern w:val="0"/>
                <w:sz w:val="18"/>
                <w:szCs w:val="18"/>
                <w:lang w:bidi="ar"/>
              </w:rPr>
              <w:t>思想道德与法治</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450" w:hRule="atLeast"/>
        </w:trPr>
        <w:tc>
          <w:tcPr>
            <w:tcW w:w="18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2000B04</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毛泽东思想和中国特色社会主义理论体系概论</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 w:val="18"/>
                <w:szCs w:val="18"/>
              </w:rPr>
            </w:pPr>
          </w:p>
        </w:tc>
        <w:tc>
          <w:tcPr>
            <w:tcW w:w="408"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2000B12-16</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形势与政策</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1305" w:type="pct"/>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1-5学期，每学期理论6课时，实践2课时</w:t>
            </w:r>
          </w:p>
        </w:tc>
      </w:tr>
      <w:tr>
        <w:tblPrEx>
          <w:tblCellMar>
            <w:top w:w="0" w:type="dxa"/>
            <w:left w:w="108" w:type="dxa"/>
            <w:bottom w:w="0" w:type="dxa"/>
            <w:right w:w="108" w:type="dxa"/>
          </w:tblCellMar>
        </w:tblPrEx>
        <w:trPr>
          <w:trHeight w:val="285" w:hRule="atLeast"/>
        </w:trPr>
        <w:tc>
          <w:tcPr>
            <w:tcW w:w="18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2000B05</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大学生心理健康教育</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2000B07</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体育</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90" w:hRule="atLeast"/>
        </w:trPr>
        <w:tc>
          <w:tcPr>
            <w:tcW w:w="18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40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0"/>
                <w:szCs w:val="20"/>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2000B11</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劳动教育</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 w:val="18"/>
                <w:szCs w:val="18"/>
              </w:rPr>
            </w:pPr>
          </w:p>
        </w:tc>
        <w:tc>
          <w:tcPr>
            <w:tcW w:w="408"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0"/>
                <w:szCs w:val="20"/>
              </w:rPr>
            </w:pPr>
          </w:p>
        </w:tc>
        <w:tc>
          <w:tcPr>
            <w:tcW w:w="139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必修小计</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17</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396</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212</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184</w:t>
            </w:r>
          </w:p>
        </w:tc>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2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r>
      <w:tr>
        <w:tblPrEx>
          <w:tblCellMar>
            <w:top w:w="0" w:type="dxa"/>
            <w:left w:w="108" w:type="dxa"/>
            <w:bottom w:w="0" w:type="dxa"/>
            <w:right w:w="108" w:type="dxa"/>
          </w:tblCellMar>
        </w:tblPrEx>
        <w:trPr>
          <w:trHeight w:val="300" w:hRule="atLeast"/>
        </w:trPr>
        <w:tc>
          <w:tcPr>
            <w:tcW w:w="189"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公共基础选修课</w:t>
            </w:r>
          </w:p>
        </w:tc>
        <w:tc>
          <w:tcPr>
            <w:tcW w:w="21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限修</w:t>
            </w: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2000B06</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职业生涯发展规划与就业指导</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r>
      <w:tr>
        <w:trPr>
          <w:trHeight w:val="300" w:hRule="atLeast"/>
        </w:trPr>
        <w:tc>
          <w:tcPr>
            <w:tcW w:w="189"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2000C01</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大学生创业基础（网络）</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2000C02</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大学生创业基础（实践）</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30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2000B08</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体育选项课(1)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2000B09</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体育选项课(2)</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38</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szCs w:val="24"/>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2000X01</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高职英语(1)</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64</w:t>
            </w:r>
          </w:p>
        </w:tc>
        <w:tc>
          <w:tcPr>
            <w:tcW w:w="3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5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r>
      <w:tr>
        <w:tblPrEx>
          <w:tblCellMar>
            <w:top w:w="0" w:type="dxa"/>
            <w:left w:w="108" w:type="dxa"/>
            <w:bottom w:w="0" w:type="dxa"/>
            <w:right w:w="108" w:type="dxa"/>
          </w:tblCellMar>
        </w:tblPrEx>
        <w:trPr>
          <w:trHeight w:val="319" w:hRule="atLeast"/>
        </w:trPr>
        <w:tc>
          <w:tcPr>
            <w:tcW w:w="189"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任选</w:t>
            </w:r>
          </w:p>
        </w:tc>
        <w:tc>
          <w:tcPr>
            <w:tcW w:w="563"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通识选修课（1）</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auto"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通识选修课（2）</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创新创业选修课</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仿宋" w:hAnsi="仿宋" w:eastAsia="仿宋" w:cs="仿宋"/>
                <w:color w:val="000000"/>
                <w:sz w:val="24"/>
                <w:szCs w:val="24"/>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52" w:hRule="atLeast"/>
        </w:trPr>
        <w:tc>
          <w:tcPr>
            <w:tcW w:w="18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61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选修小计</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311</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203</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108</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2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9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公共课合计</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35</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707</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415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292</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2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000000"/>
                <w:sz w:val="18"/>
                <w:szCs w:val="18"/>
              </w:rPr>
            </w:pPr>
          </w:p>
        </w:tc>
      </w:tr>
      <w:tr>
        <w:tblPrEx>
          <w:tblCellMar>
            <w:top w:w="0" w:type="dxa"/>
            <w:left w:w="108" w:type="dxa"/>
            <w:bottom w:w="0" w:type="dxa"/>
            <w:right w:w="108" w:type="dxa"/>
          </w:tblCellMar>
        </w:tblPrEx>
        <w:trPr>
          <w:trHeight w:val="312" w:hRule="atLeast"/>
        </w:trPr>
        <w:tc>
          <w:tcPr>
            <w:tcW w:w="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专业课</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专业必修课</w:t>
            </w: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专业群平台课/基础课</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2011001</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应用数学 </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64</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2011002</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建筑力学</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50</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2011003</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建筑法规</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2011004</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建筑材料与检测</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5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2011005</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建筑CAD </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专业核心课</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2011006</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建筑工程测量</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5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2011007</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建筑结构</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5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2011008</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钢筋混凝土结构技术</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w:t>
            </w:r>
          </w:p>
        </w:tc>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5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2011009</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土力学与地基基础</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42</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2011010</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建筑工程质量与安全管理</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5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2011011</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建筑施工组织与设计</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5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2011012</w:t>
            </w:r>
          </w:p>
        </w:tc>
        <w:tc>
          <w:tcPr>
            <w:tcW w:w="8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建筑识图与构造</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5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2011014</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钢结构安装技术</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250" w:type="pct"/>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5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highlight w:val="yellow"/>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highlight w:val="yellow"/>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39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必修小计</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826</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489</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337</w:t>
            </w:r>
          </w:p>
        </w:tc>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19</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专业选修课</w:t>
            </w:r>
          </w:p>
        </w:tc>
        <w:tc>
          <w:tcPr>
            <w:tcW w:w="216"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限选</w:t>
            </w: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2011013</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建筑工程计量与计价</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57"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44"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2011015</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现代建筑施工技术</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250"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r>
      <w:tr>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2011016</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装配式建筑生产与施工</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32</w:t>
            </w:r>
          </w:p>
        </w:tc>
        <w:tc>
          <w:tcPr>
            <w:tcW w:w="250"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44"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装配式建筑深化设计</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34</w:t>
            </w:r>
          </w:p>
        </w:tc>
        <w:tc>
          <w:tcPr>
            <w:tcW w:w="250"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44"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r>
      <w:tr>
        <w:tblPrEx>
          <w:tblCellMar>
            <w:top w:w="0" w:type="dxa"/>
            <w:left w:w="108" w:type="dxa"/>
            <w:bottom w:w="0" w:type="dxa"/>
            <w:right w:w="108" w:type="dxa"/>
          </w:tblCellMar>
        </w:tblPrEx>
        <w:trPr>
          <w:trHeight w:val="360"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2011017</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装配式建筑构造与识图</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250"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2011018</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Revit建筑建模与BIM应用</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14</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40</w:t>
            </w:r>
          </w:p>
        </w:tc>
        <w:tc>
          <w:tcPr>
            <w:tcW w:w="250"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r>
      <w:tr>
        <w:tblPrEx>
          <w:tblCellMar>
            <w:top w:w="0" w:type="dxa"/>
            <w:left w:w="108" w:type="dxa"/>
            <w:bottom w:w="0" w:type="dxa"/>
            <w:right w:w="108" w:type="dxa"/>
          </w:tblCellMar>
        </w:tblPrEx>
        <w:trPr>
          <w:trHeight w:val="450"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2011019</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钢筋工程量计算</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250"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44"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r>
      <w:tr>
        <w:tblPrEx>
          <w:tblCellMar>
            <w:top w:w="0" w:type="dxa"/>
            <w:left w:w="108" w:type="dxa"/>
            <w:bottom w:w="0" w:type="dxa"/>
            <w:right w:w="108" w:type="dxa"/>
          </w:tblCellMar>
        </w:tblPrEx>
        <w:trPr>
          <w:trHeight w:val="352"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2011020</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建筑应用文写作</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r>
      <w:tr>
        <w:tblPrEx>
          <w:tblCellMar>
            <w:top w:w="0" w:type="dxa"/>
            <w:left w:w="108" w:type="dxa"/>
            <w:bottom w:w="0" w:type="dxa"/>
            <w:right w:w="108" w:type="dxa"/>
          </w:tblCellMar>
        </w:tblPrEx>
        <w:trPr>
          <w:trHeight w:val="332"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610"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选修小计</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25</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450</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210</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240</w:t>
            </w:r>
          </w:p>
        </w:tc>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r>
      <w:tr>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任选</w:t>
            </w: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201X001</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BIM结构建模</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250"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201X002</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建筑工程监理</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250"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24"/>
                <w:szCs w:val="24"/>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201X003</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建筑施工机械与用电</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250" w:type="pct"/>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5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44"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201X004</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建筑工程经济</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21</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w:t>
            </w:r>
          </w:p>
        </w:tc>
        <w:tc>
          <w:tcPr>
            <w:tcW w:w="250" w:type="pct"/>
            <w:tcBorders>
              <w:top w:val="single" w:color="000000" w:sz="4" w:space="0"/>
              <w:left w:val="single" w:color="000000" w:sz="4" w:space="0"/>
              <w:bottom w:val="single" w:color="000000" w:sz="4" w:space="0"/>
              <w:right w:val="single" w:color="000000" w:sz="4" w:space="0"/>
            </w:tcBorders>
            <w:noWrap/>
            <w:vAlign w:val="bottom"/>
          </w:tcPr>
          <w:p>
            <w:pPr>
              <w:widowControl/>
              <w:jc w:val="right"/>
              <w:textAlignment w:val="bottom"/>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5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44"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r>
      <w:tr>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201X005</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砌体结构技术</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250"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44"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16"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201X006</w:t>
            </w:r>
          </w:p>
        </w:tc>
        <w:tc>
          <w:tcPr>
            <w:tcW w:w="831"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建设工程招投标与合同管理</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w:t>
            </w:r>
          </w:p>
        </w:tc>
        <w:tc>
          <w:tcPr>
            <w:tcW w:w="250"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w:t>
            </w: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1610" w:type="pct"/>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选修小计</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108</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61</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47</w:t>
            </w:r>
          </w:p>
        </w:tc>
        <w:tc>
          <w:tcPr>
            <w:tcW w:w="2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                               </w:t>
            </w:r>
          </w:p>
        </w:tc>
        <w:tc>
          <w:tcPr>
            <w:tcW w:w="25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0 </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 </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991"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专业课合计</w:t>
            </w:r>
          </w:p>
        </w:tc>
        <w:tc>
          <w:tcPr>
            <w:tcW w:w="24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79</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1384</w:t>
            </w:r>
          </w:p>
        </w:tc>
        <w:tc>
          <w:tcPr>
            <w:tcW w:w="30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760</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624</w:t>
            </w:r>
          </w:p>
        </w:tc>
        <w:tc>
          <w:tcPr>
            <w:tcW w:w="25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22</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10</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 xml:space="preserve">26 </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23</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25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综合实践</w:t>
            </w:r>
          </w:p>
        </w:tc>
        <w:tc>
          <w:tcPr>
            <w:tcW w:w="9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2011021</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建筑工程管理综合实训</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9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2011022</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建筑工程技术综合实训</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8w</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9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2011023</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顶岗实习</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80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5</w:t>
            </w: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4w</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9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2000A27</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毕业实习</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noWrap/>
            <w:vAlign w:val="bottom"/>
          </w:tcPr>
          <w:p>
            <w:pPr>
              <w:rPr>
                <w:rFonts w:ascii="仿宋" w:hAnsi="仿宋" w:eastAsia="仿宋" w:cs="仿宋"/>
                <w:color w:val="000000"/>
                <w:sz w:val="24"/>
                <w:szCs w:val="24"/>
              </w:rPr>
            </w:pPr>
          </w:p>
        </w:tc>
        <w:tc>
          <w:tcPr>
            <w:tcW w:w="2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12w</w:t>
            </w: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97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2000A28</w:t>
            </w:r>
          </w:p>
        </w:tc>
        <w:tc>
          <w:tcPr>
            <w:tcW w:w="8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毕业设计</w:t>
            </w:r>
          </w:p>
        </w:tc>
        <w:tc>
          <w:tcPr>
            <w:tcW w:w="2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120</w:t>
            </w:r>
          </w:p>
        </w:tc>
        <w:tc>
          <w:tcPr>
            <w:tcW w:w="30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3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120</w:t>
            </w:r>
          </w:p>
        </w:tc>
        <w:tc>
          <w:tcPr>
            <w:tcW w:w="2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25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6w</w:t>
            </w:r>
          </w:p>
        </w:tc>
      </w:tr>
      <w:tr>
        <w:tblPrEx>
          <w:tblCellMar>
            <w:top w:w="0" w:type="dxa"/>
            <w:left w:w="108" w:type="dxa"/>
            <w:bottom w:w="0" w:type="dxa"/>
            <w:right w:w="108" w:type="dxa"/>
          </w:tblCellMar>
        </w:tblPrEx>
        <w:trPr>
          <w:trHeight w:val="285" w:hRule="atLeast"/>
        </w:trPr>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综合实践合计</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720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0</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720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000000"/>
                <w:sz w:val="18"/>
                <w:szCs w:val="18"/>
              </w:rPr>
            </w:pP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18w</w:t>
            </w:r>
          </w:p>
        </w:tc>
        <w:tc>
          <w:tcPr>
            <w:tcW w:w="2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18w</w:t>
            </w:r>
          </w:p>
        </w:tc>
      </w:tr>
      <w:tr>
        <w:tblPrEx>
          <w:tblCellMar>
            <w:top w:w="0" w:type="dxa"/>
            <w:left w:w="108" w:type="dxa"/>
            <w:bottom w:w="0" w:type="dxa"/>
            <w:right w:w="108" w:type="dxa"/>
          </w:tblCellMar>
        </w:tblPrEx>
        <w:trPr>
          <w:trHeight w:val="285" w:hRule="atLeast"/>
        </w:trPr>
        <w:tc>
          <w:tcPr>
            <w:tcW w:w="199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合  计</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150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2811</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1175</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1636</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33</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24</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30</w:t>
            </w:r>
          </w:p>
        </w:tc>
        <w:tc>
          <w:tcPr>
            <w:tcW w:w="2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27</w:t>
            </w:r>
          </w:p>
        </w:tc>
        <w:tc>
          <w:tcPr>
            <w:tcW w:w="24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18w</w:t>
            </w:r>
          </w:p>
        </w:tc>
        <w:tc>
          <w:tcPr>
            <w:tcW w:w="2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lang w:bidi="ar"/>
              </w:rPr>
              <w:t>18w</w:t>
            </w:r>
          </w:p>
        </w:tc>
      </w:tr>
    </w:tbl>
    <w:p>
      <w:pPr>
        <w:spacing w:line="480" w:lineRule="exact"/>
        <w:rPr>
          <w:rFonts w:ascii="华文仿宋" w:hAnsi="华文仿宋" w:eastAsia="华文仿宋"/>
          <w:sz w:val="24"/>
          <w:szCs w:val="24"/>
        </w:rPr>
      </w:pPr>
    </w:p>
    <w:p>
      <w:pPr>
        <w:autoSpaceDE w:val="0"/>
        <w:autoSpaceDN w:val="0"/>
        <w:adjustRightInd w:val="0"/>
        <w:jc w:val="left"/>
        <w:rPr>
          <w:rFonts w:ascii="仿宋" w:hAnsi="仿宋" w:eastAsia="仿宋"/>
          <w:sz w:val="24"/>
          <w:szCs w:val="24"/>
        </w:rPr>
      </w:pPr>
    </w:p>
    <w:sectPr>
      <w:footerReference r:id="rId4"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黑体" w:hAnsi="黑体" w:eastAsia="黑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54259138"/>
                          </w:sdtPr>
                          <w:sdtEndPr>
                            <w:rPr>
                              <w:rFonts w:ascii="黑体" w:hAnsi="黑体" w:eastAsia="黑体"/>
                            </w:rPr>
                          </w:sdtEndPr>
                          <w:sdtContent>
                            <w:p>
                              <w:pPr>
                                <w:pStyle w:val="7"/>
                                <w:jc w:val="center"/>
                                <w:rPr>
                                  <w:rFonts w:ascii="黑体" w:hAnsi="黑体" w:eastAsia="黑体"/>
                                </w:rPr>
                              </w:pPr>
                              <w:r>
                                <w:rPr>
                                  <w:rFonts w:ascii="黑体" w:hAnsi="黑体" w:eastAsia="黑体"/>
                                </w:rPr>
                                <w:fldChar w:fldCharType="begin"/>
                              </w:r>
                              <w:r>
                                <w:rPr>
                                  <w:rFonts w:ascii="黑体" w:hAnsi="黑体" w:eastAsia="黑体"/>
                                </w:rPr>
                                <w:instrText xml:space="preserve">PAGE   \* MERGEFORMAT</w:instrText>
                              </w:r>
                              <w:r>
                                <w:rPr>
                                  <w:rFonts w:ascii="黑体" w:hAnsi="黑体" w:eastAsia="黑体"/>
                                </w:rPr>
                                <w:fldChar w:fldCharType="separate"/>
                              </w:r>
                              <w:r>
                                <w:rPr>
                                  <w:rFonts w:ascii="黑体" w:hAnsi="黑体" w:eastAsia="黑体"/>
                                </w:rPr>
                                <w:t>- 17 -</w:t>
                              </w:r>
                              <w:r>
                                <w:rPr>
                                  <w:rFonts w:ascii="黑体" w:hAnsi="黑体" w:eastAsia="黑体"/>
                                </w:rPr>
                                <w:fldChar w:fldCharType="end"/>
                              </w:r>
                            </w:p>
                          </w:sdtContent>
                        </w:sdt>
                        <w:p>
                          <w:pPr>
                            <w:rPr>
                              <w:rFonts w:ascii="黑体" w:hAnsi="黑体" w:eastAsia="黑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sdt>
                    <w:sdtPr>
                      <w:id w:val="-1354259138"/>
                    </w:sdtPr>
                    <w:sdtEndPr>
                      <w:rPr>
                        <w:rFonts w:ascii="黑体" w:hAnsi="黑体" w:eastAsia="黑体"/>
                      </w:rPr>
                    </w:sdtEndPr>
                    <w:sdtContent>
                      <w:p>
                        <w:pPr>
                          <w:pStyle w:val="7"/>
                          <w:jc w:val="center"/>
                          <w:rPr>
                            <w:rFonts w:ascii="黑体" w:hAnsi="黑体" w:eastAsia="黑体"/>
                          </w:rPr>
                        </w:pPr>
                        <w:r>
                          <w:rPr>
                            <w:rFonts w:ascii="黑体" w:hAnsi="黑体" w:eastAsia="黑体"/>
                          </w:rPr>
                          <w:fldChar w:fldCharType="begin"/>
                        </w:r>
                        <w:r>
                          <w:rPr>
                            <w:rFonts w:ascii="黑体" w:hAnsi="黑体" w:eastAsia="黑体"/>
                          </w:rPr>
                          <w:instrText xml:space="preserve">PAGE   \* MERGEFORMAT</w:instrText>
                        </w:r>
                        <w:r>
                          <w:rPr>
                            <w:rFonts w:ascii="黑体" w:hAnsi="黑体" w:eastAsia="黑体"/>
                          </w:rPr>
                          <w:fldChar w:fldCharType="separate"/>
                        </w:r>
                        <w:r>
                          <w:rPr>
                            <w:rFonts w:ascii="黑体" w:hAnsi="黑体" w:eastAsia="黑体"/>
                          </w:rPr>
                          <w:t>- 17 -</w:t>
                        </w:r>
                        <w:r>
                          <w:rPr>
                            <w:rFonts w:ascii="黑体" w:hAnsi="黑体" w:eastAsia="黑体"/>
                          </w:rPr>
                          <w:fldChar w:fldCharType="end"/>
                        </w:r>
                      </w:p>
                    </w:sdtContent>
                  </w:sdt>
                  <w:p>
                    <w:pPr>
                      <w:rPr>
                        <w:rFonts w:ascii="黑体" w:hAnsi="黑体" w:eastAsia="黑体"/>
                      </w:rPr>
                    </w:pPr>
                  </w:p>
                </w:txbxContent>
              </v:textbox>
            </v:shape>
          </w:pict>
        </mc:Fallback>
      </mc:AlternateContent>
    </w:r>
  </w:p>
  <w:p>
    <w:pPr>
      <w:pStyle w:val="7"/>
      <w:rPr>
        <w:rFonts w:ascii="Arial Unicode MS" w:hAnsi="Arial Unicode MS" w:eastAsia="Arial Unicode MS" w:cs="Arial Unicode M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Arial Unicode MS" w:hAnsi="Arial Unicode MS" w:eastAsia="Arial Unicode MS" w:cs="Arial Unicode MS"/>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34625005"/>
                          </w:sdtPr>
                          <w:sdtEndPr>
                            <w:rPr>
                              <w:rFonts w:ascii="Arial Unicode MS" w:hAnsi="Arial Unicode MS" w:eastAsia="Arial Unicode MS" w:cs="Arial Unicode MS"/>
                            </w:rPr>
                          </w:sdtEndPr>
                          <w:sdtContent>
                            <w:p>
                              <w:pPr>
                                <w:pStyle w:val="7"/>
                                <w:jc w:val="center"/>
                                <w:rPr>
                                  <w:rFonts w:ascii="Arial Unicode MS" w:hAnsi="Arial Unicode MS" w:eastAsia="Arial Unicode MS" w:cs="Arial Unicode MS"/>
                                </w:rPr>
                              </w:pPr>
                              <w:r>
                                <w:rPr>
                                  <w:rFonts w:ascii="Arial Unicode MS" w:hAnsi="Arial Unicode MS" w:eastAsia="Arial Unicode MS" w:cs="Arial Unicode MS"/>
                                </w:rPr>
                                <w:fldChar w:fldCharType="begin"/>
                              </w:r>
                              <w:r>
                                <w:rPr>
                                  <w:rFonts w:ascii="Arial Unicode MS" w:hAnsi="Arial Unicode MS" w:eastAsia="Arial Unicode MS" w:cs="Arial Unicode MS"/>
                                </w:rPr>
                                <w:instrText xml:space="preserve">PAGE   \* MERGEFORMAT</w:instrText>
                              </w:r>
                              <w:r>
                                <w:rPr>
                                  <w:rFonts w:ascii="Arial Unicode MS" w:hAnsi="Arial Unicode MS" w:eastAsia="Arial Unicode MS" w:cs="Arial Unicode MS"/>
                                </w:rPr>
                                <w:fldChar w:fldCharType="separate"/>
                              </w:r>
                              <w:r>
                                <w:rPr>
                                  <w:rFonts w:ascii="Arial Unicode MS" w:hAnsi="Arial Unicode MS" w:eastAsia="Arial Unicode MS" w:cs="Arial Unicode MS"/>
                                </w:rPr>
                                <w:t>- 20 -</w:t>
                              </w:r>
                              <w:r>
                                <w:rPr>
                                  <w:rFonts w:ascii="Arial Unicode MS" w:hAnsi="Arial Unicode MS" w:eastAsia="Arial Unicode MS" w:cs="Arial Unicode MS"/>
                                </w:rPr>
                                <w:fldChar w:fldCharType="end"/>
                              </w:r>
                            </w:p>
                          </w:sdtContent>
                        </w:sdt>
                        <w:p>
                          <w:pPr>
                            <w:rPr>
                              <w:rFonts w:ascii="Arial Unicode MS" w:hAnsi="Arial Unicode MS" w:eastAsia="Arial Unicode MS" w:cs="Arial Unicode MS"/>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sdt>
                    <w:sdtPr>
                      <w:id w:val="-2134625005"/>
                    </w:sdtPr>
                    <w:sdtEndPr>
                      <w:rPr>
                        <w:rFonts w:ascii="Arial Unicode MS" w:hAnsi="Arial Unicode MS" w:eastAsia="Arial Unicode MS" w:cs="Arial Unicode MS"/>
                      </w:rPr>
                    </w:sdtEndPr>
                    <w:sdtContent>
                      <w:p>
                        <w:pPr>
                          <w:pStyle w:val="7"/>
                          <w:jc w:val="center"/>
                          <w:rPr>
                            <w:rFonts w:ascii="Arial Unicode MS" w:hAnsi="Arial Unicode MS" w:eastAsia="Arial Unicode MS" w:cs="Arial Unicode MS"/>
                          </w:rPr>
                        </w:pPr>
                        <w:r>
                          <w:rPr>
                            <w:rFonts w:ascii="Arial Unicode MS" w:hAnsi="Arial Unicode MS" w:eastAsia="Arial Unicode MS" w:cs="Arial Unicode MS"/>
                          </w:rPr>
                          <w:fldChar w:fldCharType="begin"/>
                        </w:r>
                        <w:r>
                          <w:rPr>
                            <w:rFonts w:ascii="Arial Unicode MS" w:hAnsi="Arial Unicode MS" w:eastAsia="Arial Unicode MS" w:cs="Arial Unicode MS"/>
                          </w:rPr>
                          <w:instrText xml:space="preserve">PAGE   \* MERGEFORMAT</w:instrText>
                        </w:r>
                        <w:r>
                          <w:rPr>
                            <w:rFonts w:ascii="Arial Unicode MS" w:hAnsi="Arial Unicode MS" w:eastAsia="Arial Unicode MS" w:cs="Arial Unicode MS"/>
                          </w:rPr>
                          <w:fldChar w:fldCharType="separate"/>
                        </w:r>
                        <w:r>
                          <w:rPr>
                            <w:rFonts w:ascii="Arial Unicode MS" w:hAnsi="Arial Unicode MS" w:eastAsia="Arial Unicode MS" w:cs="Arial Unicode MS"/>
                          </w:rPr>
                          <w:t>- 20 -</w:t>
                        </w:r>
                        <w:r>
                          <w:rPr>
                            <w:rFonts w:ascii="Arial Unicode MS" w:hAnsi="Arial Unicode MS" w:eastAsia="Arial Unicode MS" w:cs="Arial Unicode MS"/>
                          </w:rPr>
                          <w:fldChar w:fldCharType="end"/>
                        </w:r>
                      </w:p>
                    </w:sdtContent>
                  </w:sdt>
                  <w:p>
                    <w:pPr>
                      <w:rPr>
                        <w:rFonts w:ascii="Arial Unicode MS" w:hAnsi="Arial Unicode MS" w:eastAsia="Arial Unicode MS" w:cs="Arial Unicode MS"/>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7989"/>
    <w:multiLevelType w:val="singleLevel"/>
    <w:tmpl w:val="18A2798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MjFlNzBjMzNjODIxMjdiMjM0ZGMxZjhiZjQ0MWQifQ=="/>
  </w:docVars>
  <w:rsids>
    <w:rsidRoot w:val="002A77F3"/>
    <w:rsid w:val="00004D99"/>
    <w:rsid w:val="000051D0"/>
    <w:rsid w:val="00007089"/>
    <w:rsid w:val="00007437"/>
    <w:rsid w:val="00011C84"/>
    <w:rsid w:val="00013288"/>
    <w:rsid w:val="000133D3"/>
    <w:rsid w:val="00015A05"/>
    <w:rsid w:val="000168FA"/>
    <w:rsid w:val="00017D52"/>
    <w:rsid w:val="000202D3"/>
    <w:rsid w:val="00020901"/>
    <w:rsid w:val="000236A0"/>
    <w:rsid w:val="000307E7"/>
    <w:rsid w:val="00031D85"/>
    <w:rsid w:val="000325D0"/>
    <w:rsid w:val="00032673"/>
    <w:rsid w:val="00033366"/>
    <w:rsid w:val="00041422"/>
    <w:rsid w:val="0004161A"/>
    <w:rsid w:val="00050CF0"/>
    <w:rsid w:val="00050D76"/>
    <w:rsid w:val="00051DBA"/>
    <w:rsid w:val="0005286B"/>
    <w:rsid w:val="00053DE8"/>
    <w:rsid w:val="000547BB"/>
    <w:rsid w:val="0006227E"/>
    <w:rsid w:val="00063342"/>
    <w:rsid w:val="00064216"/>
    <w:rsid w:val="0006635D"/>
    <w:rsid w:val="00070508"/>
    <w:rsid w:val="00071C63"/>
    <w:rsid w:val="00072CAE"/>
    <w:rsid w:val="00072DD9"/>
    <w:rsid w:val="00076C52"/>
    <w:rsid w:val="00077372"/>
    <w:rsid w:val="000817EB"/>
    <w:rsid w:val="00083367"/>
    <w:rsid w:val="00083F49"/>
    <w:rsid w:val="00086116"/>
    <w:rsid w:val="000875D7"/>
    <w:rsid w:val="0009223D"/>
    <w:rsid w:val="00094E15"/>
    <w:rsid w:val="000A036B"/>
    <w:rsid w:val="000A3300"/>
    <w:rsid w:val="000A335F"/>
    <w:rsid w:val="000A55F9"/>
    <w:rsid w:val="000B0C7F"/>
    <w:rsid w:val="000B32A0"/>
    <w:rsid w:val="000B3C82"/>
    <w:rsid w:val="000B4B8B"/>
    <w:rsid w:val="000B7117"/>
    <w:rsid w:val="000B725B"/>
    <w:rsid w:val="000C17C3"/>
    <w:rsid w:val="000C1BBA"/>
    <w:rsid w:val="000C2377"/>
    <w:rsid w:val="000C257D"/>
    <w:rsid w:val="000C26F2"/>
    <w:rsid w:val="000C47A3"/>
    <w:rsid w:val="000C4D81"/>
    <w:rsid w:val="000D4449"/>
    <w:rsid w:val="000D448E"/>
    <w:rsid w:val="000D4775"/>
    <w:rsid w:val="000D4C81"/>
    <w:rsid w:val="000D5F2F"/>
    <w:rsid w:val="000D7E33"/>
    <w:rsid w:val="000E020B"/>
    <w:rsid w:val="000E3A2F"/>
    <w:rsid w:val="000F3FB8"/>
    <w:rsid w:val="0010271C"/>
    <w:rsid w:val="00104332"/>
    <w:rsid w:val="00106D62"/>
    <w:rsid w:val="0011019A"/>
    <w:rsid w:val="00110808"/>
    <w:rsid w:val="001109A1"/>
    <w:rsid w:val="001145BA"/>
    <w:rsid w:val="001147A3"/>
    <w:rsid w:val="00116508"/>
    <w:rsid w:val="00122532"/>
    <w:rsid w:val="00126550"/>
    <w:rsid w:val="001266A8"/>
    <w:rsid w:val="00126CEA"/>
    <w:rsid w:val="00131C3F"/>
    <w:rsid w:val="001348A5"/>
    <w:rsid w:val="0014102E"/>
    <w:rsid w:val="00142249"/>
    <w:rsid w:val="00144B24"/>
    <w:rsid w:val="00146EDF"/>
    <w:rsid w:val="00153824"/>
    <w:rsid w:val="00154F20"/>
    <w:rsid w:val="00156BB7"/>
    <w:rsid w:val="0016092F"/>
    <w:rsid w:val="001615AF"/>
    <w:rsid w:val="00164773"/>
    <w:rsid w:val="00165B4C"/>
    <w:rsid w:val="00166E63"/>
    <w:rsid w:val="00167743"/>
    <w:rsid w:val="00171B5E"/>
    <w:rsid w:val="00173B86"/>
    <w:rsid w:val="00174086"/>
    <w:rsid w:val="0017442C"/>
    <w:rsid w:val="001770CF"/>
    <w:rsid w:val="001819D6"/>
    <w:rsid w:val="0018249C"/>
    <w:rsid w:val="001827A3"/>
    <w:rsid w:val="00183681"/>
    <w:rsid w:val="00185726"/>
    <w:rsid w:val="0018704E"/>
    <w:rsid w:val="00187767"/>
    <w:rsid w:val="0019040E"/>
    <w:rsid w:val="001A09AD"/>
    <w:rsid w:val="001A1A12"/>
    <w:rsid w:val="001A41B1"/>
    <w:rsid w:val="001A48CD"/>
    <w:rsid w:val="001C0A62"/>
    <w:rsid w:val="001C4529"/>
    <w:rsid w:val="001C4809"/>
    <w:rsid w:val="001C637E"/>
    <w:rsid w:val="001D0BF5"/>
    <w:rsid w:val="001D19BD"/>
    <w:rsid w:val="001D27BF"/>
    <w:rsid w:val="001D4263"/>
    <w:rsid w:val="001D42CE"/>
    <w:rsid w:val="001D4968"/>
    <w:rsid w:val="001D6DE9"/>
    <w:rsid w:val="001E2C0C"/>
    <w:rsid w:val="001E3A54"/>
    <w:rsid w:val="001E3AFE"/>
    <w:rsid w:val="001E79E2"/>
    <w:rsid w:val="001F207E"/>
    <w:rsid w:val="001F30A2"/>
    <w:rsid w:val="001F3B0C"/>
    <w:rsid w:val="001F4FD7"/>
    <w:rsid w:val="001F550F"/>
    <w:rsid w:val="001F60E5"/>
    <w:rsid w:val="001F63F5"/>
    <w:rsid w:val="001F6AA2"/>
    <w:rsid w:val="001F75F9"/>
    <w:rsid w:val="001F7EC0"/>
    <w:rsid w:val="00200D2B"/>
    <w:rsid w:val="00201302"/>
    <w:rsid w:val="00202046"/>
    <w:rsid w:val="00203D55"/>
    <w:rsid w:val="0020491B"/>
    <w:rsid w:val="002055EC"/>
    <w:rsid w:val="0020641A"/>
    <w:rsid w:val="00206806"/>
    <w:rsid w:val="002069DF"/>
    <w:rsid w:val="002069E1"/>
    <w:rsid w:val="00207348"/>
    <w:rsid w:val="00210692"/>
    <w:rsid w:val="00211674"/>
    <w:rsid w:val="00211C15"/>
    <w:rsid w:val="0021280A"/>
    <w:rsid w:val="00213121"/>
    <w:rsid w:val="002138B6"/>
    <w:rsid w:val="002218BB"/>
    <w:rsid w:val="00222C9B"/>
    <w:rsid w:val="002248E4"/>
    <w:rsid w:val="00224E24"/>
    <w:rsid w:val="0022523A"/>
    <w:rsid w:val="0022793A"/>
    <w:rsid w:val="00230EEE"/>
    <w:rsid w:val="0023494F"/>
    <w:rsid w:val="0023585E"/>
    <w:rsid w:val="0023753D"/>
    <w:rsid w:val="002415FF"/>
    <w:rsid w:val="00241699"/>
    <w:rsid w:val="002420F7"/>
    <w:rsid w:val="002435C2"/>
    <w:rsid w:val="00244512"/>
    <w:rsid w:val="00244900"/>
    <w:rsid w:val="002452AA"/>
    <w:rsid w:val="00250DF5"/>
    <w:rsid w:val="002566CE"/>
    <w:rsid w:val="00260589"/>
    <w:rsid w:val="00260AAB"/>
    <w:rsid w:val="00260BAE"/>
    <w:rsid w:val="00260DB3"/>
    <w:rsid w:val="002622C0"/>
    <w:rsid w:val="00263382"/>
    <w:rsid w:val="002656CC"/>
    <w:rsid w:val="0026572A"/>
    <w:rsid w:val="00265DD5"/>
    <w:rsid w:val="00266A70"/>
    <w:rsid w:val="00270B89"/>
    <w:rsid w:val="00270DF2"/>
    <w:rsid w:val="00273DAC"/>
    <w:rsid w:val="002775D1"/>
    <w:rsid w:val="002779CE"/>
    <w:rsid w:val="00280C1D"/>
    <w:rsid w:val="002814C4"/>
    <w:rsid w:val="00281F30"/>
    <w:rsid w:val="00282DCD"/>
    <w:rsid w:val="00284755"/>
    <w:rsid w:val="002851C2"/>
    <w:rsid w:val="00286A24"/>
    <w:rsid w:val="002871E1"/>
    <w:rsid w:val="00290E82"/>
    <w:rsid w:val="00291682"/>
    <w:rsid w:val="00291861"/>
    <w:rsid w:val="00292852"/>
    <w:rsid w:val="00293DD8"/>
    <w:rsid w:val="0029541C"/>
    <w:rsid w:val="00296EE3"/>
    <w:rsid w:val="002A00AD"/>
    <w:rsid w:val="002A00EE"/>
    <w:rsid w:val="002A151F"/>
    <w:rsid w:val="002A31AF"/>
    <w:rsid w:val="002A38C6"/>
    <w:rsid w:val="002A5EA2"/>
    <w:rsid w:val="002A6419"/>
    <w:rsid w:val="002A77F3"/>
    <w:rsid w:val="002A7D0B"/>
    <w:rsid w:val="002B23C3"/>
    <w:rsid w:val="002B42F6"/>
    <w:rsid w:val="002B695C"/>
    <w:rsid w:val="002B69E3"/>
    <w:rsid w:val="002C39FC"/>
    <w:rsid w:val="002C4E5E"/>
    <w:rsid w:val="002C5642"/>
    <w:rsid w:val="002C7095"/>
    <w:rsid w:val="002D08E5"/>
    <w:rsid w:val="002D1B49"/>
    <w:rsid w:val="002D3333"/>
    <w:rsid w:val="002D4CFC"/>
    <w:rsid w:val="002D4FD8"/>
    <w:rsid w:val="002D5726"/>
    <w:rsid w:val="002D62DD"/>
    <w:rsid w:val="002D6908"/>
    <w:rsid w:val="002E58D8"/>
    <w:rsid w:val="002E600E"/>
    <w:rsid w:val="002E6BC4"/>
    <w:rsid w:val="002F235D"/>
    <w:rsid w:val="002F29B8"/>
    <w:rsid w:val="002F4846"/>
    <w:rsid w:val="002F7A79"/>
    <w:rsid w:val="00301B18"/>
    <w:rsid w:val="00304B42"/>
    <w:rsid w:val="00305058"/>
    <w:rsid w:val="00305332"/>
    <w:rsid w:val="003062E2"/>
    <w:rsid w:val="003078AD"/>
    <w:rsid w:val="00314E5E"/>
    <w:rsid w:val="00322760"/>
    <w:rsid w:val="00324CBF"/>
    <w:rsid w:val="00325EAB"/>
    <w:rsid w:val="00326055"/>
    <w:rsid w:val="00326C05"/>
    <w:rsid w:val="00332FE5"/>
    <w:rsid w:val="00336384"/>
    <w:rsid w:val="003366A2"/>
    <w:rsid w:val="00341ED7"/>
    <w:rsid w:val="00342C9A"/>
    <w:rsid w:val="00343407"/>
    <w:rsid w:val="003444FD"/>
    <w:rsid w:val="0035023D"/>
    <w:rsid w:val="0035081A"/>
    <w:rsid w:val="003528D3"/>
    <w:rsid w:val="0035643F"/>
    <w:rsid w:val="003608F4"/>
    <w:rsid w:val="003626B3"/>
    <w:rsid w:val="00365DDC"/>
    <w:rsid w:val="00366FB0"/>
    <w:rsid w:val="0037154F"/>
    <w:rsid w:val="003715F4"/>
    <w:rsid w:val="00371FB7"/>
    <w:rsid w:val="003807E7"/>
    <w:rsid w:val="00380EAF"/>
    <w:rsid w:val="0038242C"/>
    <w:rsid w:val="00385022"/>
    <w:rsid w:val="00392713"/>
    <w:rsid w:val="003947E5"/>
    <w:rsid w:val="003A2ADE"/>
    <w:rsid w:val="003A5313"/>
    <w:rsid w:val="003A6961"/>
    <w:rsid w:val="003A6FA7"/>
    <w:rsid w:val="003A755C"/>
    <w:rsid w:val="003A77F5"/>
    <w:rsid w:val="003B07DB"/>
    <w:rsid w:val="003C2145"/>
    <w:rsid w:val="003C2BC5"/>
    <w:rsid w:val="003C4B54"/>
    <w:rsid w:val="003C5C4A"/>
    <w:rsid w:val="003C6331"/>
    <w:rsid w:val="003C699B"/>
    <w:rsid w:val="003D000E"/>
    <w:rsid w:val="003D000F"/>
    <w:rsid w:val="003D23C4"/>
    <w:rsid w:val="003D2BD4"/>
    <w:rsid w:val="003D5149"/>
    <w:rsid w:val="003E22E6"/>
    <w:rsid w:val="003E2305"/>
    <w:rsid w:val="003E34E1"/>
    <w:rsid w:val="003E36F3"/>
    <w:rsid w:val="003E3A7F"/>
    <w:rsid w:val="003E6274"/>
    <w:rsid w:val="003E6B4A"/>
    <w:rsid w:val="003E7428"/>
    <w:rsid w:val="003F1F2D"/>
    <w:rsid w:val="003F313D"/>
    <w:rsid w:val="003F34A7"/>
    <w:rsid w:val="003F5E7D"/>
    <w:rsid w:val="004001A6"/>
    <w:rsid w:val="00400C43"/>
    <w:rsid w:val="004043B1"/>
    <w:rsid w:val="00405A00"/>
    <w:rsid w:val="00406256"/>
    <w:rsid w:val="00411AD1"/>
    <w:rsid w:val="00413A2D"/>
    <w:rsid w:val="004151FA"/>
    <w:rsid w:val="00417248"/>
    <w:rsid w:val="00423C6D"/>
    <w:rsid w:val="00424045"/>
    <w:rsid w:val="00424D45"/>
    <w:rsid w:val="00424F43"/>
    <w:rsid w:val="00427644"/>
    <w:rsid w:val="00427795"/>
    <w:rsid w:val="00427C01"/>
    <w:rsid w:val="0043216F"/>
    <w:rsid w:val="004332E2"/>
    <w:rsid w:val="004344B9"/>
    <w:rsid w:val="00436087"/>
    <w:rsid w:val="0043622D"/>
    <w:rsid w:val="00441034"/>
    <w:rsid w:val="004417E7"/>
    <w:rsid w:val="00441E91"/>
    <w:rsid w:val="00443009"/>
    <w:rsid w:val="00446F40"/>
    <w:rsid w:val="004519BF"/>
    <w:rsid w:val="00451F7C"/>
    <w:rsid w:val="0046118D"/>
    <w:rsid w:val="004640EF"/>
    <w:rsid w:val="004654FA"/>
    <w:rsid w:val="00465C4E"/>
    <w:rsid w:val="004738B6"/>
    <w:rsid w:val="00473E15"/>
    <w:rsid w:val="0047436A"/>
    <w:rsid w:val="004761E5"/>
    <w:rsid w:val="00476488"/>
    <w:rsid w:val="00480D4A"/>
    <w:rsid w:val="0048550C"/>
    <w:rsid w:val="0049074C"/>
    <w:rsid w:val="0049081F"/>
    <w:rsid w:val="00491B1E"/>
    <w:rsid w:val="00492F88"/>
    <w:rsid w:val="00494951"/>
    <w:rsid w:val="00495A0A"/>
    <w:rsid w:val="00495C47"/>
    <w:rsid w:val="004A0445"/>
    <w:rsid w:val="004A2538"/>
    <w:rsid w:val="004A2E70"/>
    <w:rsid w:val="004A39B1"/>
    <w:rsid w:val="004A69E0"/>
    <w:rsid w:val="004A6F17"/>
    <w:rsid w:val="004B078D"/>
    <w:rsid w:val="004B5E19"/>
    <w:rsid w:val="004C13B3"/>
    <w:rsid w:val="004C1935"/>
    <w:rsid w:val="004C255B"/>
    <w:rsid w:val="004C294A"/>
    <w:rsid w:val="004C533C"/>
    <w:rsid w:val="004C53D7"/>
    <w:rsid w:val="004D2B6A"/>
    <w:rsid w:val="004D45C0"/>
    <w:rsid w:val="004D4D60"/>
    <w:rsid w:val="004D716E"/>
    <w:rsid w:val="004E434B"/>
    <w:rsid w:val="004E4FD1"/>
    <w:rsid w:val="004E55A3"/>
    <w:rsid w:val="004E5AE1"/>
    <w:rsid w:val="004E7A70"/>
    <w:rsid w:val="004F0193"/>
    <w:rsid w:val="004F1B98"/>
    <w:rsid w:val="004F2E6B"/>
    <w:rsid w:val="004F698C"/>
    <w:rsid w:val="00501503"/>
    <w:rsid w:val="005021A7"/>
    <w:rsid w:val="00502913"/>
    <w:rsid w:val="00504E7B"/>
    <w:rsid w:val="00506720"/>
    <w:rsid w:val="00506C49"/>
    <w:rsid w:val="00507A65"/>
    <w:rsid w:val="00512C83"/>
    <w:rsid w:val="00514763"/>
    <w:rsid w:val="00514775"/>
    <w:rsid w:val="0052305E"/>
    <w:rsid w:val="00524E4F"/>
    <w:rsid w:val="00532318"/>
    <w:rsid w:val="005324F9"/>
    <w:rsid w:val="00533767"/>
    <w:rsid w:val="005349BF"/>
    <w:rsid w:val="00534B8F"/>
    <w:rsid w:val="00541CC1"/>
    <w:rsid w:val="00542B83"/>
    <w:rsid w:val="00543890"/>
    <w:rsid w:val="00544AC3"/>
    <w:rsid w:val="005472B1"/>
    <w:rsid w:val="00551BC3"/>
    <w:rsid w:val="005522B5"/>
    <w:rsid w:val="0055265E"/>
    <w:rsid w:val="005540AF"/>
    <w:rsid w:val="00556E3F"/>
    <w:rsid w:val="005575A0"/>
    <w:rsid w:val="00560992"/>
    <w:rsid w:val="00560FAB"/>
    <w:rsid w:val="00566B28"/>
    <w:rsid w:val="00567494"/>
    <w:rsid w:val="00572996"/>
    <w:rsid w:val="00573DD5"/>
    <w:rsid w:val="00576F33"/>
    <w:rsid w:val="005776AB"/>
    <w:rsid w:val="00577989"/>
    <w:rsid w:val="00580B98"/>
    <w:rsid w:val="00581DD4"/>
    <w:rsid w:val="005822DB"/>
    <w:rsid w:val="00582CF3"/>
    <w:rsid w:val="00582FBD"/>
    <w:rsid w:val="005869F9"/>
    <w:rsid w:val="005910F9"/>
    <w:rsid w:val="00595133"/>
    <w:rsid w:val="005A00EF"/>
    <w:rsid w:val="005A1DE8"/>
    <w:rsid w:val="005A272B"/>
    <w:rsid w:val="005A33D1"/>
    <w:rsid w:val="005A45C3"/>
    <w:rsid w:val="005A5A88"/>
    <w:rsid w:val="005A7006"/>
    <w:rsid w:val="005A744E"/>
    <w:rsid w:val="005A794F"/>
    <w:rsid w:val="005B1C9B"/>
    <w:rsid w:val="005B61F9"/>
    <w:rsid w:val="005B6F6C"/>
    <w:rsid w:val="005B73C8"/>
    <w:rsid w:val="005B7B48"/>
    <w:rsid w:val="005C2B88"/>
    <w:rsid w:val="005C412A"/>
    <w:rsid w:val="005C6ADC"/>
    <w:rsid w:val="005D0600"/>
    <w:rsid w:val="005D1B74"/>
    <w:rsid w:val="005D1BAF"/>
    <w:rsid w:val="005D2A95"/>
    <w:rsid w:val="005D625A"/>
    <w:rsid w:val="005D6875"/>
    <w:rsid w:val="005D68BC"/>
    <w:rsid w:val="005D6C59"/>
    <w:rsid w:val="005E1ADE"/>
    <w:rsid w:val="005E258B"/>
    <w:rsid w:val="005E36E3"/>
    <w:rsid w:val="005E4318"/>
    <w:rsid w:val="005E4D05"/>
    <w:rsid w:val="005E7A1F"/>
    <w:rsid w:val="005F0F70"/>
    <w:rsid w:val="005F1498"/>
    <w:rsid w:val="005F38CE"/>
    <w:rsid w:val="005F39A8"/>
    <w:rsid w:val="005F615E"/>
    <w:rsid w:val="005F7057"/>
    <w:rsid w:val="006000AE"/>
    <w:rsid w:val="00600A14"/>
    <w:rsid w:val="00603FA3"/>
    <w:rsid w:val="00604829"/>
    <w:rsid w:val="006048A6"/>
    <w:rsid w:val="00606415"/>
    <w:rsid w:val="006066F4"/>
    <w:rsid w:val="00607E66"/>
    <w:rsid w:val="006100F8"/>
    <w:rsid w:val="00614447"/>
    <w:rsid w:val="00621678"/>
    <w:rsid w:val="00621AB6"/>
    <w:rsid w:val="006226FA"/>
    <w:rsid w:val="00622C09"/>
    <w:rsid w:val="00622C2C"/>
    <w:rsid w:val="0062421B"/>
    <w:rsid w:val="00626EA0"/>
    <w:rsid w:val="006303F0"/>
    <w:rsid w:val="00631A1A"/>
    <w:rsid w:val="00633058"/>
    <w:rsid w:val="00633B4A"/>
    <w:rsid w:val="00634161"/>
    <w:rsid w:val="00634D11"/>
    <w:rsid w:val="00635767"/>
    <w:rsid w:val="00635FAB"/>
    <w:rsid w:val="00640476"/>
    <w:rsid w:val="00640799"/>
    <w:rsid w:val="006424EC"/>
    <w:rsid w:val="0064303A"/>
    <w:rsid w:val="00644FC0"/>
    <w:rsid w:val="00645EA1"/>
    <w:rsid w:val="006518E1"/>
    <w:rsid w:val="00651ACD"/>
    <w:rsid w:val="00656307"/>
    <w:rsid w:val="00662812"/>
    <w:rsid w:val="006628D9"/>
    <w:rsid w:val="00662C03"/>
    <w:rsid w:val="00662C05"/>
    <w:rsid w:val="00663049"/>
    <w:rsid w:val="0066432A"/>
    <w:rsid w:val="00666D49"/>
    <w:rsid w:val="00671A26"/>
    <w:rsid w:val="0067375D"/>
    <w:rsid w:val="00674FCB"/>
    <w:rsid w:val="00676BBB"/>
    <w:rsid w:val="00676C08"/>
    <w:rsid w:val="00682BCE"/>
    <w:rsid w:val="00683A06"/>
    <w:rsid w:val="0068491F"/>
    <w:rsid w:val="006867D0"/>
    <w:rsid w:val="006873EF"/>
    <w:rsid w:val="00687DD9"/>
    <w:rsid w:val="0069187A"/>
    <w:rsid w:val="00691E88"/>
    <w:rsid w:val="00692AFF"/>
    <w:rsid w:val="00693326"/>
    <w:rsid w:val="00696859"/>
    <w:rsid w:val="006971E5"/>
    <w:rsid w:val="0069744B"/>
    <w:rsid w:val="006A101F"/>
    <w:rsid w:val="006A164A"/>
    <w:rsid w:val="006A16DF"/>
    <w:rsid w:val="006A25F3"/>
    <w:rsid w:val="006A3969"/>
    <w:rsid w:val="006A5022"/>
    <w:rsid w:val="006A50FC"/>
    <w:rsid w:val="006A5FD6"/>
    <w:rsid w:val="006B1AB5"/>
    <w:rsid w:val="006B34BA"/>
    <w:rsid w:val="006B39E3"/>
    <w:rsid w:val="006B3DB4"/>
    <w:rsid w:val="006B4143"/>
    <w:rsid w:val="006B45CE"/>
    <w:rsid w:val="006B46D1"/>
    <w:rsid w:val="006B5058"/>
    <w:rsid w:val="006C09CD"/>
    <w:rsid w:val="006C263C"/>
    <w:rsid w:val="006C2953"/>
    <w:rsid w:val="006C450B"/>
    <w:rsid w:val="006C517A"/>
    <w:rsid w:val="006C76A3"/>
    <w:rsid w:val="006D2236"/>
    <w:rsid w:val="006D3F7A"/>
    <w:rsid w:val="006D40B9"/>
    <w:rsid w:val="006D7986"/>
    <w:rsid w:val="006E067A"/>
    <w:rsid w:val="006E0F32"/>
    <w:rsid w:val="006E1FFE"/>
    <w:rsid w:val="006E4A69"/>
    <w:rsid w:val="006E6655"/>
    <w:rsid w:val="006E7107"/>
    <w:rsid w:val="006F10DC"/>
    <w:rsid w:val="006F233E"/>
    <w:rsid w:val="006F3746"/>
    <w:rsid w:val="006F3925"/>
    <w:rsid w:val="006F3FC4"/>
    <w:rsid w:val="006F4445"/>
    <w:rsid w:val="006F49D9"/>
    <w:rsid w:val="006F54B4"/>
    <w:rsid w:val="006F56EE"/>
    <w:rsid w:val="006F7ED6"/>
    <w:rsid w:val="00700185"/>
    <w:rsid w:val="007026B1"/>
    <w:rsid w:val="00702907"/>
    <w:rsid w:val="007102FE"/>
    <w:rsid w:val="00712C7F"/>
    <w:rsid w:val="007134D4"/>
    <w:rsid w:val="00715E59"/>
    <w:rsid w:val="00720BBD"/>
    <w:rsid w:val="007215BD"/>
    <w:rsid w:val="00723557"/>
    <w:rsid w:val="00724A43"/>
    <w:rsid w:val="00726AAE"/>
    <w:rsid w:val="0073049C"/>
    <w:rsid w:val="00731D64"/>
    <w:rsid w:val="007330DA"/>
    <w:rsid w:val="0073331A"/>
    <w:rsid w:val="007356D2"/>
    <w:rsid w:val="00735F9E"/>
    <w:rsid w:val="00740BE4"/>
    <w:rsid w:val="00742E07"/>
    <w:rsid w:val="00743A52"/>
    <w:rsid w:val="00743D17"/>
    <w:rsid w:val="007448F3"/>
    <w:rsid w:val="00747939"/>
    <w:rsid w:val="00751656"/>
    <w:rsid w:val="00753A5A"/>
    <w:rsid w:val="00755812"/>
    <w:rsid w:val="00764EDA"/>
    <w:rsid w:val="00764F25"/>
    <w:rsid w:val="00765AA8"/>
    <w:rsid w:val="00772C11"/>
    <w:rsid w:val="00774B21"/>
    <w:rsid w:val="00775526"/>
    <w:rsid w:val="0077640C"/>
    <w:rsid w:val="007776C6"/>
    <w:rsid w:val="00777ED7"/>
    <w:rsid w:val="0078107D"/>
    <w:rsid w:val="0078253A"/>
    <w:rsid w:val="00786A57"/>
    <w:rsid w:val="00787DB2"/>
    <w:rsid w:val="00790AB3"/>
    <w:rsid w:val="007927D8"/>
    <w:rsid w:val="007938A8"/>
    <w:rsid w:val="007946E3"/>
    <w:rsid w:val="00796156"/>
    <w:rsid w:val="0079628E"/>
    <w:rsid w:val="00796FBF"/>
    <w:rsid w:val="007A2D55"/>
    <w:rsid w:val="007A3868"/>
    <w:rsid w:val="007A5367"/>
    <w:rsid w:val="007A5669"/>
    <w:rsid w:val="007A72B6"/>
    <w:rsid w:val="007A79BD"/>
    <w:rsid w:val="007B103E"/>
    <w:rsid w:val="007B1240"/>
    <w:rsid w:val="007B2A7C"/>
    <w:rsid w:val="007B2E0D"/>
    <w:rsid w:val="007B3845"/>
    <w:rsid w:val="007B4D5B"/>
    <w:rsid w:val="007B4EE2"/>
    <w:rsid w:val="007B6C5A"/>
    <w:rsid w:val="007B727E"/>
    <w:rsid w:val="007C02B6"/>
    <w:rsid w:val="007C181A"/>
    <w:rsid w:val="007C1DDE"/>
    <w:rsid w:val="007C2BA1"/>
    <w:rsid w:val="007C2BB0"/>
    <w:rsid w:val="007C2C21"/>
    <w:rsid w:val="007C77B0"/>
    <w:rsid w:val="007D1579"/>
    <w:rsid w:val="007D3BCF"/>
    <w:rsid w:val="007D78F8"/>
    <w:rsid w:val="007E1539"/>
    <w:rsid w:val="007E1939"/>
    <w:rsid w:val="007E2EF7"/>
    <w:rsid w:val="007E3358"/>
    <w:rsid w:val="007E4BB2"/>
    <w:rsid w:val="007E7A59"/>
    <w:rsid w:val="007F55FE"/>
    <w:rsid w:val="007F7B34"/>
    <w:rsid w:val="00804F4F"/>
    <w:rsid w:val="00812B28"/>
    <w:rsid w:val="00813390"/>
    <w:rsid w:val="00814862"/>
    <w:rsid w:val="008148BB"/>
    <w:rsid w:val="008238A1"/>
    <w:rsid w:val="00826F21"/>
    <w:rsid w:val="0083107A"/>
    <w:rsid w:val="00833496"/>
    <w:rsid w:val="00833C3E"/>
    <w:rsid w:val="00834C62"/>
    <w:rsid w:val="00834ECF"/>
    <w:rsid w:val="0083511B"/>
    <w:rsid w:val="00837C0A"/>
    <w:rsid w:val="00842909"/>
    <w:rsid w:val="00846D2C"/>
    <w:rsid w:val="0085063C"/>
    <w:rsid w:val="0085462C"/>
    <w:rsid w:val="00855C25"/>
    <w:rsid w:val="00857AF6"/>
    <w:rsid w:val="00860648"/>
    <w:rsid w:val="008638A7"/>
    <w:rsid w:val="00863A0C"/>
    <w:rsid w:val="00864A85"/>
    <w:rsid w:val="00867868"/>
    <w:rsid w:val="008703EB"/>
    <w:rsid w:val="0087129E"/>
    <w:rsid w:val="00872C70"/>
    <w:rsid w:val="0088340B"/>
    <w:rsid w:val="00885B39"/>
    <w:rsid w:val="00885DE7"/>
    <w:rsid w:val="00886D03"/>
    <w:rsid w:val="00890A72"/>
    <w:rsid w:val="00890BBE"/>
    <w:rsid w:val="0089212B"/>
    <w:rsid w:val="008953AA"/>
    <w:rsid w:val="0089608F"/>
    <w:rsid w:val="008975AC"/>
    <w:rsid w:val="008A0A15"/>
    <w:rsid w:val="008A0A86"/>
    <w:rsid w:val="008A1EE3"/>
    <w:rsid w:val="008A2AA5"/>
    <w:rsid w:val="008A3881"/>
    <w:rsid w:val="008A582F"/>
    <w:rsid w:val="008A5908"/>
    <w:rsid w:val="008A61DA"/>
    <w:rsid w:val="008A72CC"/>
    <w:rsid w:val="008A79C8"/>
    <w:rsid w:val="008A7FDC"/>
    <w:rsid w:val="008B1185"/>
    <w:rsid w:val="008B3537"/>
    <w:rsid w:val="008B39E1"/>
    <w:rsid w:val="008C3ED1"/>
    <w:rsid w:val="008C42FF"/>
    <w:rsid w:val="008C4D20"/>
    <w:rsid w:val="008C6E23"/>
    <w:rsid w:val="008C6E3F"/>
    <w:rsid w:val="008D1177"/>
    <w:rsid w:val="008D417E"/>
    <w:rsid w:val="008D49C5"/>
    <w:rsid w:val="008D4C0A"/>
    <w:rsid w:val="008D5BD5"/>
    <w:rsid w:val="008E23AF"/>
    <w:rsid w:val="008E429D"/>
    <w:rsid w:val="008E5BD3"/>
    <w:rsid w:val="008E7C7C"/>
    <w:rsid w:val="008F0301"/>
    <w:rsid w:val="008F4A3B"/>
    <w:rsid w:val="00902CA5"/>
    <w:rsid w:val="00904DB0"/>
    <w:rsid w:val="009056E3"/>
    <w:rsid w:val="009071C3"/>
    <w:rsid w:val="00910DE8"/>
    <w:rsid w:val="00911217"/>
    <w:rsid w:val="0091168D"/>
    <w:rsid w:val="009164A8"/>
    <w:rsid w:val="00917FD9"/>
    <w:rsid w:val="009207BB"/>
    <w:rsid w:val="009219AB"/>
    <w:rsid w:val="00921FCF"/>
    <w:rsid w:val="009220D8"/>
    <w:rsid w:val="00924C59"/>
    <w:rsid w:val="00926754"/>
    <w:rsid w:val="00926C96"/>
    <w:rsid w:val="00927C8F"/>
    <w:rsid w:val="00934794"/>
    <w:rsid w:val="00934A49"/>
    <w:rsid w:val="00935894"/>
    <w:rsid w:val="0093682D"/>
    <w:rsid w:val="0093720D"/>
    <w:rsid w:val="009407FB"/>
    <w:rsid w:val="00942241"/>
    <w:rsid w:val="009443EC"/>
    <w:rsid w:val="00947719"/>
    <w:rsid w:val="00947DAA"/>
    <w:rsid w:val="00952613"/>
    <w:rsid w:val="00954622"/>
    <w:rsid w:val="00954B1B"/>
    <w:rsid w:val="00954D2E"/>
    <w:rsid w:val="00957559"/>
    <w:rsid w:val="009605B2"/>
    <w:rsid w:val="009651D1"/>
    <w:rsid w:val="0096668E"/>
    <w:rsid w:val="00966ACE"/>
    <w:rsid w:val="009675D5"/>
    <w:rsid w:val="00971DCF"/>
    <w:rsid w:val="00971F65"/>
    <w:rsid w:val="00973FCD"/>
    <w:rsid w:val="00974496"/>
    <w:rsid w:val="0097513B"/>
    <w:rsid w:val="009766A0"/>
    <w:rsid w:val="00984745"/>
    <w:rsid w:val="00987CFA"/>
    <w:rsid w:val="00990131"/>
    <w:rsid w:val="00990708"/>
    <w:rsid w:val="00992197"/>
    <w:rsid w:val="009A06B4"/>
    <w:rsid w:val="009A08B3"/>
    <w:rsid w:val="009A0C96"/>
    <w:rsid w:val="009A103E"/>
    <w:rsid w:val="009A1128"/>
    <w:rsid w:val="009A1812"/>
    <w:rsid w:val="009A5398"/>
    <w:rsid w:val="009B04E7"/>
    <w:rsid w:val="009B062F"/>
    <w:rsid w:val="009B1249"/>
    <w:rsid w:val="009B1A84"/>
    <w:rsid w:val="009B7803"/>
    <w:rsid w:val="009B7DA3"/>
    <w:rsid w:val="009C23CA"/>
    <w:rsid w:val="009C44FA"/>
    <w:rsid w:val="009C554C"/>
    <w:rsid w:val="009C63E2"/>
    <w:rsid w:val="009C77F0"/>
    <w:rsid w:val="009C7F57"/>
    <w:rsid w:val="009D07D9"/>
    <w:rsid w:val="009D1F20"/>
    <w:rsid w:val="009D32C3"/>
    <w:rsid w:val="009D6733"/>
    <w:rsid w:val="009E1D2A"/>
    <w:rsid w:val="009E1F19"/>
    <w:rsid w:val="009E27BE"/>
    <w:rsid w:val="009E2905"/>
    <w:rsid w:val="009E44F2"/>
    <w:rsid w:val="009E5C06"/>
    <w:rsid w:val="009E63FC"/>
    <w:rsid w:val="009E689F"/>
    <w:rsid w:val="009E6F7E"/>
    <w:rsid w:val="009E7521"/>
    <w:rsid w:val="009F0D32"/>
    <w:rsid w:val="00A015C3"/>
    <w:rsid w:val="00A06041"/>
    <w:rsid w:val="00A0734E"/>
    <w:rsid w:val="00A076E3"/>
    <w:rsid w:val="00A079A4"/>
    <w:rsid w:val="00A111F8"/>
    <w:rsid w:val="00A12B00"/>
    <w:rsid w:val="00A1323B"/>
    <w:rsid w:val="00A1569A"/>
    <w:rsid w:val="00A16A11"/>
    <w:rsid w:val="00A1773C"/>
    <w:rsid w:val="00A2664A"/>
    <w:rsid w:val="00A31361"/>
    <w:rsid w:val="00A325A4"/>
    <w:rsid w:val="00A328D5"/>
    <w:rsid w:val="00A4262E"/>
    <w:rsid w:val="00A43864"/>
    <w:rsid w:val="00A4653B"/>
    <w:rsid w:val="00A55AF9"/>
    <w:rsid w:val="00A57DC7"/>
    <w:rsid w:val="00A611DB"/>
    <w:rsid w:val="00A617C6"/>
    <w:rsid w:val="00A6263E"/>
    <w:rsid w:val="00A6403C"/>
    <w:rsid w:val="00A655A9"/>
    <w:rsid w:val="00A67917"/>
    <w:rsid w:val="00A72325"/>
    <w:rsid w:val="00A82572"/>
    <w:rsid w:val="00A922FA"/>
    <w:rsid w:val="00A9251E"/>
    <w:rsid w:val="00A92656"/>
    <w:rsid w:val="00AA4A3C"/>
    <w:rsid w:val="00AA53B1"/>
    <w:rsid w:val="00AA612C"/>
    <w:rsid w:val="00AB1C93"/>
    <w:rsid w:val="00AB63E9"/>
    <w:rsid w:val="00AC0F95"/>
    <w:rsid w:val="00AC1A34"/>
    <w:rsid w:val="00AC59E3"/>
    <w:rsid w:val="00AC635A"/>
    <w:rsid w:val="00AC7341"/>
    <w:rsid w:val="00AD0692"/>
    <w:rsid w:val="00AD4E65"/>
    <w:rsid w:val="00AD6076"/>
    <w:rsid w:val="00AD6183"/>
    <w:rsid w:val="00AD66C9"/>
    <w:rsid w:val="00AE18A3"/>
    <w:rsid w:val="00AE23C4"/>
    <w:rsid w:val="00AE3DD4"/>
    <w:rsid w:val="00AE463B"/>
    <w:rsid w:val="00AE6818"/>
    <w:rsid w:val="00AE7445"/>
    <w:rsid w:val="00AE7E96"/>
    <w:rsid w:val="00AF0D3F"/>
    <w:rsid w:val="00AF1179"/>
    <w:rsid w:val="00AF505B"/>
    <w:rsid w:val="00AF57F8"/>
    <w:rsid w:val="00AF6ACB"/>
    <w:rsid w:val="00B0021F"/>
    <w:rsid w:val="00B01EE6"/>
    <w:rsid w:val="00B025D2"/>
    <w:rsid w:val="00B02CE3"/>
    <w:rsid w:val="00B04D73"/>
    <w:rsid w:val="00B0588A"/>
    <w:rsid w:val="00B05BC5"/>
    <w:rsid w:val="00B068AF"/>
    <w:rsid w:val="00B12316"/>
    <w:rsid w:val="00B12A1D"/>
    <w:rsid w:val="00B12A33"/>
    <w:rsid w:val="00B146E3"/>
    <w:rsid w:val="00B15E27"/>
    <w:rsid w:val="00B1723D"/>
    <w:rsid w:val="00B23A0A"/>
    <w:rsid w:val="00B23D2B"/>
    <w:rsid w:val="00B23EDF"/>
    <w:rsid w:val="00B251D4"/>
    <w:rsid w:val="00B27300"/>
    <w:rsid w:val="00B27425"/>
    <w:rsid w:val="00B31A6B"/>
    <w:rsid w:val="00B32BB8"/>
    <w:rsid w:val="00B368C4"/>
    <w:rsid w:val="00B44878"/>
    <w:rsid w:val="00B52391"/>
    <w:rsid w:val="00B524DD"/>
    <w:rsid w:val="00B52943"/>
    <w:rsid w:val="00B532C2"/>
    <w:rsid w:val="00B548CC"/>
    <w:rsid w:val="00B54A28"/>
    <w:rsid w:val="00B56832"/>
    <w:rsid w:val="00B65D65"/>
    <w:rsid w:val="00B70808"/>
    <w:rsid w:val="00B73100"/>
    <w:rsid w:val="00B73719"/>
    <w:rsid w:val="00B738EB"/>
    <w:rsid w:val="00B7407D"/>
    <w:rsid w:val="00B81DBD"/>
    <w:rsid w:val="00B828A6"/>
    <w:rsid w:val="00B83BA9"/>
    <w:rsid w:val="00B86586"/>
    <w:rsid w:val="00B90493"/>
    <w:rsid w:val="00B92AA2"/>
    <w:rsid w:val="00B92BBB"/>
    <w:rsid w:val="00B94686"/>
    <w:rsid w:val="00B94934"/>
    <w:rsid w:val="00B9559E"/>
    <w:rsid w:val="00B97AFC"/>
    <w:rsid w:val="00BA076A"/>
    <w:rsid w:val="00BA2213"/>
    <w:rsid w:val="00BA384D"/>
    <w:rsid w:val="00BA4F2A"/>
    <w:rsid w:val="00BA7A44"/>
    <w:rsid w:val="00BB139E"/>
    <w:rsid w:val="00BB2B41"/>
    <w:rsid w:val="00BB4754"/>
    <w:rsid w:val="00BB77AC"/>
    <w:rsid w:val="00BB78B2"/>
    <w:rsid w:val="00BC0118"/>
    <w:rsid w:val="00BC1645"/>
    <w:rsid w:val="00BC204B"/>
    <w:rsid w:val="00BC3542"/>
    <w:rsid w:val="00BC60B5"/>
    <w:rsid w:val="00BC7078"/>
    <w:rsid w:val="00BC7CD5"/>
    <w:rsid w:val="00BD0AA5"/>
    <w:rsid w:val="00BD1A37"/>
    <w:rsid w:val="00BD20BD"/>
    <w:rsid w:val="00BD32F0"/>
    <w:rsid w:val="00BD4BDC"/>
    <w:rsid w:val="00BD5041"/>
    <w:rsid w:val="00BD61B1"/>
    <w:rsid w:val="00BD7E9D"/>
    <w:rsid w:val="00BE3335"/>
    <w:rsid w:val="00BE5519"/>
    <w:rsid w:val="00BE5715"/>
    <w:rsid w:val="00BE58C3"/>
    <w:rsid w:val="00BE6CC9"/>
    <w:rsid w:val="00BF576D"/>
    <w:rsid w:val="00C009C5"/>
    <w:rsid w:val="00C00EA0"/>
    <w:rsid w:val="00C0163C"/>
    <w:rsid w:val="00C02BC9"/>
    <w:rsid w:val="00C02D90"/>
    <w:rsid w:val="00C0362C"/>
    <w:rsid w:val="00C04B73"/>
    <w:rsid w:val="00C1153C"/>
    <w:rsid w:val="00C16521"/>
    <w:rsid w:val="00C204CC"/>
    <w:rsid w:val="00C26D7C"/>
    <w:rsid w:val="00C315A9"/>
    <w:rsid w:val="00C3308A"/>
    <w:rsid w:val="00C33513"/>
    <w:rsid w:val="00C33C08"/>
    <w:rsid w:val="00C341DA"/>
    <w:rsid w:val="00C3439C"/>
    <w:rsid w:val="00C35326"/>
    <w:rsid w:val="00C35FC4"/>
    <w:rsid w:val="00C41281"/>
    <w:rsid w:val="00C42A5B"/>
    <w:rsid w:val="00C42C88"/>
    <w:rsid w:val="00C42EB6"/>
    <w:rsid w:val="00C43CBA"/>
    <w:rsid w:val="00C449E4"/>
    <w:rsid w:val="00C45D61"/>
    <w:rsid w:val="00C50DEB"/>
    <w:rsid w:val="00C54481"/>
    <w:rsid w:val="00C56D9A"/>
    <w:rsid w:val="00C57003"/>
    <w:rsid w:val="00C57668"/>
    <w:rsid w:val="00C60B90"/>
    <w:rsid w:val="00C60C42"/>
    <w:rsid w:val="00C63140"/>
    <w:rsid w:val="00C63BEA"/>
    <w:rsid w:val="00C64AA5"/>
    <w:rsid w:val="00C65CD8"/>
    <w:rsid w:val="00C66283"/>
    <w:rsid w:val="00C67E12"/>
    <w:rsid w:val="00C7086A"/>
    <w:rsid w:val="00C71963"/>
    <w:rsid w:val="00C72662"/>
    <w:rsid w:val="00C72C43"/>
    <w:rsid w:val="00C736FD"/>
    <w:rsid w:val="00C73758"/>
    <w:rsid w:val="00C73D3E"/>
    <w:rsid w:val="00C77085"/>
    <w:rsid w:val="00C841C8"/>
    <w:rsid w:val="00C84F69"/>
    <w:rsid w:val="00C85437"/>
    <w:rsid w:val="00C87A8F"/>
    <w:rsid w:val="00C87B56"/>
    <w:rsid w:val="00C91E59"/>
    <w:rsid w:val="00C9548E"/>
    <w:rsid w:val="00CA43B5"/>
    <w:rsid w:val="00CA57A6"/>
    <w:rsid w:val="00CA699C"/>
    <w:rsid w:val="00CB247F"/>
    <w:rsid w:val="00CB479A"/>
    <w:rsid w:val="00CB67A6"/>
    <w:rsid w:val="00CB6F5E"/>
    <w:rsid w:val="00CC1C71"/>
    <w:rsid w:val="00CC211E"/>
    <w:rsid w:val="00CC23D3"/>
    <w:rsid w:val="00CC32BC"/>
    <w:rsid w:val="00CC5AFC"/>
    <w:rsid w:val="00CC6E60"/>
    <w:rsid w:val="00CC708A"/>
    <w:rsid w:val="00CD10B6"/>
    <w:rsid w:val="00CD1948"/>
    <w:rsid w:val="00CD2CAF"/>
    <w:rsid w:val="00CD453A"/>
    <w:rsid w:val="00CD4685"/>
    <w:rsid w:val="00CD7702"/>
    <w:rsid w:val="00CE04CA"/>
    <w:rsid w:val="00CE052F"/>
    <w:rsid w:val="00CE2585"/>
    <w:rsid w:val="00CE5D06"/>
    <w:rsid w:val="00CE69A0"/>
    <w:rsid w:val="00CE7DE7"/>
    <w:rsid w:val="00CE7E14"/>
    <w:rsid w:val="00CF155C"/>
    <w:rsid w:val="00CF2C70"/>
    <w:rsid w:val="00CF5E32"/>
    <w:rsid w:val="00CF6E47"/>
    <w:rsid w:val="00D00D83"/>
    <w:rsid w:val="00D016D3"/>
    <w:rsid w:val="00D04061"/>
    <w:rsid w:val="00D067B7"/>
    <w:rsid w:val="00D10BCD"/>
    <w:rsid w:val="00D1430E"/>
    <w:rsid w:val="00D1476C"/>
    <w:rsid w:val="00D14F46"/>
    <w:rsid w:val="00D1666A"/>
    <w:rsid w:val="00D201EE"/>
    <w:rsid w:val="00D20309"/>
    <w:rsid w:val="00D22F0D"/>
    <w:rsid w:val="00D24E4C"/>
    <w:rsid w:val="00D26053"/>
    <w:rsid w:val="00D32E3D"/>
    <w:rsid w:val="00D32F3A"/>
    <w:rsid w:val="00D3340A"/>
    <w:rsid w:val="00D410C7"/>
    <w:rsid w:val="00D43022"/>
    <w:rsid w:val="00D4549E"/>
    <w:rsid w:val="00D46983"/>
    <w:rsid w:val="00D51050"/>
    <w:rsid w:val="00D51DAF"/>
    <w:rsid w:val="00D51F09"/>
    <w:rsid w:val="00D536F2"/>
    <w:rsid w:val="00D6410C"/>
    <w:rsid w:val="00D65A8B"/>
    <w:rsid w:val="00D67989"/>
    <w:rsid w:val="00D75AFE"/>
    <w:rsid w:val="00D779A8"/>
    <w:rsid w:val="00D8042F"/>
    <w:rsid w:val="00D80964"/>
    <w:rsid w:val="00D810DD"/>
    <w:rsid w:val="00D8151B"/>
    <w:rsid w:val="00D90F7A"/>
    <w:rsid w:val="00D956F0"/>
    <w:rsid w:val="00D95CAE"/>
    <w:rsid w:val="00D97103"/>
    <w:rsid w:val="00D97C27"/>
    <w:rsid w:val="00D97FD0"/>
    <w:rsid w:val="00DA2925"/>
    <w:rsid w:val="00DA586A"/>
    <w:rsid w:val="00DA6A1D"/>
    <w:rsid w:val="00DA777D"/>
    <w:rsid w:val="00DB0AA1"/>
    <w:rsid w:val="00DB2682"/>
    <w:rsid w:val="00DB2B2D"/>
    <w:rsid w:val="00DB3AD3"/>
    <w:rsid w:val="00DB5531"/>
    <w:rsid w:val="00DC21D2"/>
    <w:rsid w:val="00DC2801"/>
    <w:rsid w:val="00DC322B"/>
    <w:rsid w:val="00DC3361"/>
    <w:rsid w:val="00DC5F36"/>
    <w:rsid w:val="00DD10B0"/>
    <w:rsid w:val="00DD2DBF"/>
    <w:rsid w:val="00DD2E26"/>
    <w:rsid w:val="00DD4656"/>
    <w:rsid w:val="00DD5A84"/>
    <w:rsid w:val="00DE03F6"/>
    <w:rsid w:val="00DE329B"/>
    <w:rsid w:val="00DE55D2"/>
    <w:rsid w:val="00DF0588"/>
    <w:rsid w:val="00DF408A"/>
    <w:rsid w:val="00E008B2"/>
    <w:rsid w:val="00E00EEA"/>
    <w:rsid w:val="00E0324C"/>
    <w:rsid w:val="00E03ADE"/>
    <w:rsid w:val="00E119D1"/>
    <w:rsid w:val="00E12D7E"/>
    <w:rsid w:val="00E14937"/>
    <w:rsid w:val="00E14AE7"/>
    <w:rsid w:val="00E1540D"/>
    <w:rsid w:val="00E16F7F"/>
    <w:rsid w:val="00E223E9"/>
    <w:rsid w:val="00E26A4F"/>
    <w:rsid w:val="00E27976"/>
    <w:rsid w:val="00E312B3"/>
    <w:rsid w:val="00E320B3"/>
    <w:rsid w:val="00E32FC7"/>
    <w:rsid w:val="00E33162"/>
    <w:rsid w:val="00E338E5"/>
    <w:rsid w:val="00E36850"/>
    <w:rsid w:val="00E40E3E"/>
    <w:rsid w:val="00E4382C"/>
    <w:rsid w:val="00E45BD9"/>
    <w:rsid w:val="00E45CFF"/>
    <w:rsid w:val="00E475B5"/>
    <w:rsid w:val="00E51899"/>
    <w:rsid w:val="00E5343B"/>
    <w:rsid w:val="00E53EE9"/>
    <w:rsid w:val="00E55F86"/>
    <w:rsid w:val="00E55FC7"/>
    <w:rsid w:val="00E564E4"/>
    <w:rsid w:val="00E57913"/>
    <w:rsid w:val="00E60790"/>
    <w:rsid w:val="00E60F69"/>
    <w:rsid w:val="00E61B2A"/>
    <w:rsid w:val="00E62062"/>
    <w:rsid w:val="00E62139"/>
    <w:rsid w:val="00E63D4E"/>
    <w:rsid w:val="00E67E68"/>
    <w:rsid w:val="00E70689"/>
    <w:rsid w:val="00E716B6"/>
    <w:rsid w:val="00E71B95"/>
    <w:rsid w:val="00E72C58"/>
    <w:rsid w:val="00E77B10"/>
    <w:rsid w:val="00E80960"/>
    <w:rsid w:val="00E827D8"/>
    <w:rsid w:val="00E836A4"/>
    <w:rsid w:val="00E8532D"/>
    <w:rsid w:val="00E8642B"/>
    <w:rsid w:val="00E8671B"/>
    <w:rsid w:val="00E8677E"/>
    <w:rsid w:val="00E8685D"/>
    <w:rsid w:val="00E92846"/>
    <w:rsid w:val="00E93124"/>
    <w:rsid w:val="00E9647B"/>
    <w:rsid w:val="00E96480"/>
    <w:rsid w:val="00EA2FBE"/>
    <w:rsid w:val="00EA5373"/>
    <w:rsid w:val="00EA579F"/>
    <w:rsid w:val="00EA5BFE"/>
    <w:rsid w:val="00EA6450"/>
    <w:rsid w:val="00EB077B"/>
    <w:rsid w:val="00EB1CD4"/>
    <w:rsid w:val="00EB22A2"/>
    <w:rsid w:val="00EB28E5"/>
    <w:rsid w:val="00EB70A8"/>
    <w:rsid w:val="00EC07B3"/>
    <w:rsid w:val="00EC4B75"/>
    <w:rsid w:val="00EC59E3"/>
    <w:rsid w:val="00ED016E"/>
    <w:rsid w:val="00ED01CE"/>
    <w:rsid w:val="00ED0858"/>
    <w:rsid w:val="00ED217B"/>
    <w:rsid w:val="00ED37F5"/>
    <w:rsid w:val="00ED385C"/>
    <w:rsid w:val="00ED6C64"/>
    <w:rsid w:val="00EE09B3"/>
    <w:rsid w:val="00EE2C82"/>
    <w:rsid w:val="00EE378C"/>
    <w:rsid w:val="00EE41D7"/>
    <w:rsid w:val="00EE55AE"/>
    <w:rsid w:val="00EE5F68"/>
    <w:rsid w:val="00EF1137"/>
    <w:rsid w:val="00EF18A4"/>
    <w:rsid w:val="00EF325B"/>
    <w:rsid w:val="00EF37C3"/>
    <w:rsid w:val="00EF69B2"/>
    <w:rsid w:val="00F002C3"/>
    <w:rsid w:val="00F00A1A"/>
    <w:rsid w:val="00F0233C"/>
    <w:rsid w:val="00F02E95"/>
    <w:rsid w:val="00F0684E"/>
    <w:rsid w:val="00F07424"/>
    <w:rsid w:val="00F07983"/>
    <w:rsid w:val="00F10994"/>
    <w:rsid w:val="00F10EA3"/>
    <w:rsid w:val="00F11A51"/>
    <w:rsid w:val="00F12C0C"/>
    <w:rsid w:val="00F147CC"/>
    <w:rsid w:val="00F15544"/>
    <w:rsid w:val="00F1623F"/>
    <w:rsid w:val="00F17627"/>
    <w:rsid w:val="00F17FF4"/>
    <w:rsid w:val="00F226B9"/>
    <w:rsid w:val="00F23625"/>
    <w:rsid w:val="00F246DA"/>
    <w:rsid w:val="00F24FB0"/>
    <w:rsid w:val="00F265A0"/>
    <w:rsid w:val="00F26948"/>
    <w:rsid w:val="00F27538"/>
    <w:rsid w:val="00F32ACE"/>
    <w:rsid w:val="00F33FF3"/>
    <w:rsid w:val="00F40219"/>
    <w:rsid w:val="00F419A9"/>
    <w:rsid w:val="00F41D6C"/>
    <w:rsid w:val="00F423E6"/>
    <w:rsid w:val="00F442B2"/>
    <w:rsid w:val="00F46E7D"/>
    <w:rsid w:val="00F52D66"/>
    <w:rsid w:val="00F5451F"/>
    <w:rsid w:val="00F56D85"/>
    <w:rsid w:val="00F56E16"/>
    <w:rsid w:val="00F57D70"/>
    <w:rsid w:val="00F60764"/>
    <w:rsid w:val="00F628DC"/>
    <w:rsid w:val="00F670E2"/>
    <w:rsid w:val="00F67C2D"/>
    <w:rsid w:val="00F716AC"/>
    <w:rsid w:val="00F73090"/>
    <w:rsid w:val="00F73282"/>
    <w:rsid w:val="00F74002"/>
    <w:rsid w:val="00F74DC3"/>
    <w:rsid w:val="00F767CC"/>
    <w:rsid w:val="00F77E02"/>
    <w:rsid w:val="00F83148"/>
    <w:rsid w:val="00F83BF8"/>
    <w:rsid w:val="00F85B28"/>
    <w:rsid w:val="00F8757C"/>
    <w:rsid w:val="00F901ED"/>
    <w:rsid w:val="00F90948"/>
    <w:rsid w:val="00F90C51"/>
    <w:rsid w:val="00F93268"/>
    <w:rsid w:val="00F94BFC"/>
    <w:rsid w:val="00FA1E6B"/>
    <w:rsid w:val="00FA2C10"/>
    <w:rsid w:val="00FB1443"/>
    <w:rsid w:val="00FB19B7"/>
    <w:rsid w:val="00FB2980"/>
    <w:rsid w:val="00FB3C4B"/>
    <w:rsid w:val="00FB4D9D"/>
    <w:rsid w:val="00FB6BE5"/>
    <w:rsid w:val="00FC0135"/>
    <w:rsid w:val="00FC105C"/>
    <w:rsid w:val="00FC1575"/>
    <w:rsid w:val="00FC2015"/>
    <w:rsid w:val="00FC2336"/>
    <w:rsid w:val="00FD26C6"/>
    <w:rsid w:val="00FD38D8"/>
    <w:rsid w:val="00FD4EC9"/>
    <w:rsid w:val="00FD7C44"/>
    <w:rsid w:val="00FE0BD2"/>
    <w:rsid w:val="00FE4EF4"/>
    <w:rsid w:val="00FE79C7"/>
    <w:rsid w:val="00FE7AFB"/>
    <w:rsid w:val="00FF211C"/>
    <w:rsid w:val="00FF3448"/>
    <w:rsid w:val="00FF68AF"/>
    <w:rsid w:val="00FF69E1"/>
    <w:rsid w:val="00FF71DE"/>
    <w:rsid w:val="00FF7DB8"/>
    <w:rsid w:val="01047C37"/>
    <w:rsid w:val="0112363F"/>
    <w:rsid w:val="01541EA9"/>
    <w:rsid w:val="016025FC"/>
    <w:rsid w:val="01852063"/>
    <w:rsid w:val="01B14C06"/>
    <w:rsid w:val="01DD1E9F"/>
    <w:rsid w:val="01EE19B6"/>
    <w:rsid w:val="021A09FD"/>
    <w:rsid w:val="022B0E5C"/>
    <w:rsid w:val="022E44A8"/>
    <w:rsid w:val="02363C5E"/>
    <w:rsid w:val="02555ED9"/>
    <w:rsid w:val="028247F4"/>
    <w:rsid w:val="029A38EC"/>
    <w:rsid w:val="02BA5D3C"/>
    <w:rsid w:val="02C32E43"/>
    <w:rsid w:val="02C60B85"/>
    <w:rsid w:val="02D52B76"/>
    <w:rsid w:val="03190CB5"/>
    <w:rsid w:val="032633D2"/>
    <w:rsid w:val="032A0C00"/>
    <w:rsid w:val="03367AB9"/>
    <w:rsid w:val="03595555"/>
    <w:rsid w:val="03A762C0"/>
    <w:rsid w:val="04406715"/>
    <w:rsid w:val="04426D8D"/>
    <w:rsid w:val="04904FA7"/>
    <w:rsid w:val="049727D9"/>
    <w:rsid w:val="04983E5B"/>
    <w:rsid w:val="04CB5FDF"/>
    <w:rsid w:val="04D01847"/>
    <w:rsid w:val="04DC01EC"/>
    <w:rsid w:val="04F75026"/>
    <w:rsid w:val="05541DDD"/>
    <w:rsid w:val="05560E4C"/>
    <w:rsid w:val="05614B95"/>
    <w:rsid w:val="05E25CD6"/>
    <w:rsid w:val="05E530D0"/>
    <w:rsid w:val="060461EC"/>
    <w:rsid w:val="06200F7F"/>
    <w:rsid w:val="0642628B"/>
    <w:rsid w:val="06A905A2"/>
    <w:rsid w:val="06BC02D5"/>
    <w:rsid w:val="07283BBC"/>
    <w:rsid w:val="073F2CB4"/>
    <w:rsid w:val="07601459"/>
    <w:rsid w:val="077F3D36"/>
    <w:rsid w:val="07EF6488"/>
    <w:rsid w:val="07F9011D"/>
    <w:rsid w:val="0802440D"/>
    <w:rsid w:val="08752E31"/>
    <w:rsid w:val="089F1C5C"/>
    <w:rsid w:val="08E81855"/>
    <w:rsid w:val="08EB514D"/>
    <w:rsid w:val="08ED64C0"/>
    <w:rsid w:val="09420839"/>
    <w:rsid w:val="094A6EEA"/>
    <w:rsid w:val="095073FA"/>
    <w:rsid w:val="098552F6"/>
    <w:rsid w:val="09945539"/>
    <w:rsid w:val="099C619C"/>
    <w:rsid w:val="09D41DD9"/>
    <w:rsid w:val="09DC47EA"/>
    <w:rsid w:val="09EC7123"/>
    <w:rsid w:val="0A165F4E"/>
    <w:rsid w:val="0A1977EC"/>
    <w:rsid w:val="0A2166A1"/>
    <w:rsid w:val="0A2543E3"/>
    <w:rsid w:val="0A5549D1"/>
    <w:rsid w:val="0A6C2012"/>
    <w:rsid w:val="0AA277E2"/>
    <w:rsid w:val="0AAA2B3A"/>
    <w:rsid w:val="0AAF1EFF"/>
    <w:rsid w:val="0AD55278"/>
    <w:rsid w:val="0AD96589"/>
    <w:rsid w:val="0AE977B2"/>
    <w:rsid w:val="0AEB73DB"/>
    <w:rsid w:val="0B0E4E77"/>
    <w:rsid w:val="0B163D2C"/>
    <w:rsid w:val="0B2823DD"/>
    <w:rsid w:val="0B2C56BA"/>
    <w:rsid w:val="0B5807E8"/>
    <w:rsid w:val="0B837613"/>
    <w:rsid w:val="0B9C06D5"/>
    <w:rsid w:val="0BAD5691"/>
    <w:rsid w:val="0BB2614A"/>
    <w:rsid w:val="0BB579E9"/>
    <w:rsid w:val="0BC23F01"/>
    <w:rsid w:val="0BCB720C"/>
    <w:rsid w:val="0BEB340A"/>
    <w:rsid w:val="0BF4406D"/>
    <w:rsid w:val="0C2F779B"/>
    <w:rsid w:val="0C50326D"/>
    <w:rsid w:val="0C8748EC"/>
    <w:rsid w:val="0C994C14"/>
    <w:rsid w:val="0CCD5F34"/>
    <w:rsid w:val="0CD50CAA"/>
    <w:rsid w:val="0CD67C16"/>
    <w:rsid w:val="0CE57E5A"/>
    <w:rsid w:val="0CE916F8"/>
    <w:rsid w:val="0D044989"/>
    <w:rsid w:val="0D186481"/>
    <w:rsid w:val="0D3D37F2"/>
    <w:rsid w:val="0D444E00"/>
    <w:rsid w:val="0D703BC7"/>
    <w:rsid w:val="0D924CC9"/>
    <w:rsid w:val="0D98311E"/>
    <w:rsid w:val="0DD203DE"/>
    <w:rsid w:val="0DE8552D"/>
    <w:rsid w:val="0E214EC1"/>
    <w:rsid w:val="0E4F7C80"/>
    <w:rsid w:val="0E545297"/>
    <w:rsid w:val="0E59465B"/>
    <w:rsid w:val="0EAA4EB7"/>
    <w:rsid w:val="0EF32D02"/>
    <w:rsid w:val="0EF42522"/>
    <w:rsid w:val="0F0767AD"/>
    <w:rsid w:val="0F1113DA"/>
    <w:rsid w:val="0F307AB2"/>
    <w:rsid w:val="0F5F05EB"/>
    <w:rsid w:val="0F916077"/>
    <w:rsid w:val="0F9471CF"/>
    <w:rsid w:val="0FDD2F99"/>
    <w:rsid w:val="101C0036"/>
    <w:rsid w:val="10205BEF"/>
    <w:rsid w:val="10615A49"/>
    <w:rsid w:val="10B4026F"/>
    <w:rsid w:val="10B83D84"/>
    <w:rsid w:val="10BF005F"/>
    <w:rsid w:val="10EF12A7"/>
    <w:rsid w:val="11423ACC"/>
    <w:rsid w:val="1164360C"/>
    <w:rsid w:val="11903ADA"/>
    <w:rsid w:val="11AB1672"/>
    <w:rsid w:val="11BD7880"/>
    <w:rsid w:val="12336871"/>
    <w:rsid w:val="124B69B1"/>
    <w:rsid w:val="12855AA9"/>
    <w:rsid w:val="1299596E"/>
    <w:rsid w:val="12A06CFD"/>
    <w:rsid w:val="12B44556"/>
    <w:rsid w:val="12D15108"/>
    <w:rsid w:val="12D32E3B"/>
    <w:rsid w:val="12F84E51"/>
    <w:rsid w:val="130D10B1"/>
    <w:rsid w:val="136523F3"/>
    <w:rsid w:val="13781A27"/>
    <w:rsid w:val="13914897"/>
    <w:rsid w:val="13BA2040"/>
    <w:rsid w:val="13CE7899"/>
    <w:rsid w:val="13D84274"/>
    <w:rsid w:val="14117786"/>
    <w:rsid w:val="142E56DE"/>
    <w:rsid w:val="14495172"/>
    <w:rsid w:val="145231AB"/>
    <w:rsid w:val="1457163D"/>
    <w:rsid w:val="146124BC"/>
    <w:rsid w:val="14A800EA"/>
    <w:rsid w:val="14C33176"/>
    <w:rsid w:val="14E3472F"/>
    <w:rsid w:val="152C2AC9"/>
    <w:rsid w:val="15316332"/>
    <w:rsid w:val="15347BD0"/>
    <w:rsid w:val="153B4ABB"/>
    <w:rsid w:val="1549766B"/>
    <w:rsid w:val="155D0ED5"/>
    <w:rsid w:val="15645F45"/>
    <w:rsid w:val="156C2EC6"/>
    <w:rsid w:val="156C37B3"/>
    <w:rsid w:val="156C736A"/>
    <w:rsid w:val="15AF54A9"/>
    <w:rsid w:val="15C947BC"/>
    <w:rsid w:val="15CE3B81"/>
    <w:rsid w:val="15D849FF"/>
    <w:rsid w:val="15DB004C"/>
    <w:rsid w:val="15F07F9B"/>
    <w:rsid w:val="15F17B76"/>
    <w:rsid w:val="16104199"/>
    <w:rsid w:val="162E587E"/>
    <w:rsid w:val="163A2FC4"/>
    <w:rsid w:val="169A1CB5"/>
    <w:rsid w:val="16DC051F"/>
    <w:rsid w:val="16E64EFA"/>
    <w:rsid w:val="16F413C5"/>
    <w:rsid w:val="1703785A"/>
    <w:rsid w:val="171E48B5"/>
    <w:rsid w:val="172F1E8C"/>
    <w:rsid w:val="173619DD"/>
    <w:rsid w:val="174560C4"/>
    <w:rsid w:val="174D6D27"/>
    <w:rsid w:val="17552F75"/>
    <w:rsid w:val="17836912"/>
    <w:rsid w:val="17D83874"/>
    <w:rsid w:val="17DA1E3E"/>
    <w:rsid w:val="17F453F5"/>
    <w:rsid w:val="18023FB5"/>
    <w:rsid w:val="18115FA7"/>
    <w:rsid w:val="18325244"/>
    <w:rsid w:val="183A72AB"/>
    <w:rsid w:val="184B14B9"/>
    <w:rsid w:val="18B04B8A"/>
    <w:rsid w:val="18C43019"/>
    <w:rsid w:val="18CE3E98"/>
    <w:rsid w:val="18DA7F86"/>
    <w:rsid w:val="190A2D7A"/>
    <w:rsid w:val="191915B7"/>
    <w:rsid w:val="192A5572"/>
    <w:rsid w:val="193A152D"/>
    <w:rsid w:val="19573E8D"/>
    <w:rsid w:val="1A142624"/>
    <w:rsid w:val="1A3A17E5"/>
    <w:rsid w:val="1A3D3083"/>
    <w:rsid w:val="1A472154"/>
    <w:rsid w:val="1A640A2C"/>
    <w:rsid w:val="1A7B1DFD"/>
    <w:rsid w:val="1AB01AA7"/>
    <w:rsid w:val="1AD75285"/>
    <w:rsid w:val="1AE16104"/>
    <w:rsid w:val="1B0B13D3"/>
    <w:rsid w:val="1B281F85"/>
    <w:rsid w:val="1B43291B"/>
    <w:rsid w:val="1B612DA1"/>
    <w:rsid w:val="1B787B87"/>
    <w:rsid w:val="1B807A74"/>
    <w:rsid w:val="1B9238A2"/>
    <w:rsid w:val="1B974A15"/>
    <w:rsid w:val="1B9E2247"/>
    <w:rsid w:val="1BAA299A"/>
    <w:rsid w:val="1BB9498B"/>
    <w:rsid w:val="1BF637F2"/>
    <w:rsid w:val="1C0D4CD7"/>
    <w:rsid w:val="1C305E9A"/>
    <w:rsid w:val="1C45126E"/>
    <w:rsid w:val="1C536B8E"/>
    <w:rsid w:val="1CC1760C"/>
    <w:rsid w:val="1CD1288B"/>
    <w:rsid w:val="1D13456F"/>
    <w:rsid w:val="1D682B0D"/>
    <w:rsid w:val="1D6923E1"/>
    <w:rsid w:val="1D6D72B7"/>
    <w:rsid w:val="1DC928BA"/>
    <w:rsid w:val="1DCA10D2"/>
    <w:rsid w:val="1DDE692B"/>
    <w:rsid w:val="1E05210A"/>
    <w:rsid w:val="1E14059F"/>
    <w:rsid w:val="1E3649B9"/>
    <w:rsid w:val="1E534FDF"/>
    <w:rsid w:val="1E854FF8"/>
    <w:rsid w:val="1EB617C2"/>
    <w:rsid w:val="1EC04B69"/>
    <w:rsid w:val="1ECC2C27"/>
    <w:rsid w:val="1F071EB1"/>
    <w:rsid w:val="1F1F71FB"/>
    <w:rsid w:val="1F3534A2"/>
    <w:rsid w:val="1F493F44"/>
    <w:rsid w:val="1F4D55DB"/>
    <w:rsid w:val="1F5F584A"/>
    <w:rsid w:val="1FC63B1B"/>
    <w:rsid w:val="1FF266BE"/>
    <w:rsid w:val="1FFE3203"/>
    <w:rsid w:val="20125FC6"/>
    <w:rsid w:val="20131117"/>
    <w:rsid w:val="20524D99"/>
    <w:rsid w:val="20531852"/>
    <w:rsid w:val="20A420AE"/>
    <w:rsid w:val="20C52024"/>
    <w:rsid w:val="20DB1848"/>
    <w:rsid w:val="20F3093F"/>
    <w:rsid w:val="20F6042F"/>
    <w:rsid w:val="21026DD4"/>
    <w:rsid w:val="210B5C89"/>
    <w:rsid w:val="215C003D"/>
    <w:rsid w:val="21983295"/>
    <w:rsid w:val="21F4496F"/>
    <w:rsid w:val="22623FCE"/>
    <w:rsid w:val="22833F45"/>
    <w:rsid w:val="22DF157D"/>
    <w:rsid w:val="22E03226"/>
    <w:rsid w:val="232F57C2"/>
    <w:rsid w:val="232F5C7C"/>
    <w:rsid w:val="23D06D16"/>
    <w:rsid w:val="23D83E1C"/>
    <w:rsid w:val="23D9660A"/>
    <w:rsid w:val="240A6462"/>
    <w:rsid w:val="240E783E"/>
    <w:rsid w:val="2412732E"/>
    <w:rsid w:val="243F4B86"/>
    <w:rsid w:val="24442B55"/>
    <w:rsid w:val="24457704"/>
    <w:rsid w:val="249064A5"/>
    <w:rsid w:val="249441E7"/>
    <w:rsid w:val="24A0493A"/>
    <w:rsid w:val="24AB32DF"/>
    <w:rsid w:val="24B82068"/>
    <w:rsid w:val="2560231B"/>
    <w:rsid w:val="256F255E"/>
    <w:rsid w:val="259C15A5"/>
    <w:rsid w:val="25BF6CA0"/>
    <w:rsid w:val="25DD571A"/>
    <w:rsid w:val="25E20F82"/>
    <w:rsid w:val="25E30157"/>
    <w:rsid w:val="263A4AC8"/>
    <w:rsid w:val="267C18B2"/>
    <w:rsid w:val="268B33C8"/>
    <w:rsid w:val="269B7AAF"/>
    <w:rsid w:val="26EA4592"/>
    <w:rsid w:val="270A6872"/>
    <w:rsid w:val="270C62B7"/>
    <w:rsid w:val="271907D4"/>
    <w:rsid w:val="27D52B4D"/>
    <w:rsid w:val="27E864DE"/>
    <w:rsid w:val="28592CFC"/>
    <w:rsid w:val="28812CD5"/>
    <w:rsid w:val="28A40771"/>
    <w:rsid w:val="28AD5878"/>
    <w:rsid w:val="28D267B5"/>
    <w:rsid w:val="29051210"/>
    <w:rsid w:val="291C47AB"/>
    <w:rsid w:val="294A57BC"/>
    <w:rsid w:val="296E3259"/>
    <w:rsid w:val="29826D04"/>
    <w:rsid w:val="29A924E3"/>
    <w:rsid w:val="29AC7C89"/>
    <w:rsid w:val="29F002F1"/>
    <w:rsid w:val="2A1060BE"/>
    <w:rsid w:val="2A1A6F3D"/>
    <w:rsid w:val="2A467D32"/>
    <w:rsid w:val="2A6B366E"/>
    <w:rsid w:val="2AC5334C"/>
    <w:rsid w:val="2AE13EFE"/>
    <w:rsid w:val="2B3E7332"/>
    <w:rsid w:val="2B522706"/>
    <w:rsid w:val="2B5338FA"/>
    <w:rsid w:val="2B54022C"/>
    <w:rsid w:val="2B713F38"/>
    <w:rsid w:val="2B7F799F"/>
    <w:rsid w:val="2B9A462F"/>
    <w:rsid w:val="2BA0401E"/>
    <w:rsid w:val="2BE65A62"/>
    <w:rsid w:val="2C3C1B8E"/>
    <w:rsid w:val="2C7D1A05"/>
    <w:rsid w:val="2C906510"/>
    <w:rsid w:val="2CF00429"/>
    <w:rsid w:val="2D776454"/>
    <w:rsid w:val="2D7B4196"/>
    <w:rsid w:val="2DF7645E"/>
    <w:rsid w:val="2E12144A"/>
    <w:rsid w:val="2E3A195C"/>
    <w:rsid w:val="2E694136"/>
    <w:rsid w:val="2EF02909"/>
    <w:rsid w:val="2EF52DE8"/>
    <w:rsid w:val="2F0E55F8"/>
    <w:rsid w:val="2F1E302B"/>
    <w:rsid w:val="2F8A6913"/>
    <w:rsid w:val="2F932886"/>
    <w:rsid w:val="2FBE78D3"/>
    <w:rsid w:val="2FC040E2"/>
    <w:rsid w:val="2FC11C09"/>
    <w:rsid w:val="302208F9"/>
    <w:rsid w:val="303863DE"/>
    <w:rsid w:val="30444D13"/>
    <w:rsid w:val="30977AE1"/>
    <w:rsid w:val="30CD447A"/>
    <w:rsid w:val="30D53BBD"/>
    <w:rsid w:val="3106021B"/>
    <w:rsid w:val="3115408C"/>
    <w:rsid w:val="31224929"/>
    <w:rsid w:val="31295CB7"/>
    <w:rsid w:val="312B472F"/>
    <w:rsid w:val="313257CB"/>
    <w:rsid w:val="3139239E"/>
    <w:rsid w:val="314A45AB"/>
    <w:rsid w:val="3153482E"/>
    <w:rsid w:val="315E3BB3"/>
    <w:rsid w:val="315F0053"/>
    <w:rsid w:val="31B46804"/>
    <w:rsid w:val="3200469D"/>
    <w:rsid w:val="320E0EBE"/>
    <w:rsid w:val="321C1662"/>
    <w:rsid w:val="32335040"/>
    <w:rsid w:val="33150BE9"/>
    <w:rsid w:val="33244988"/>
    <w:rsid w:val="33460DA3"/>
    <w:rsid w:val="339E007A"/>
    <w:rsid w:val="33D463AE"/>
    <w:rsid w:val="33E12879"/>
    <w:rsid w:val="342015F4"/>
    <w:rsid w:val="343432F1"/>
    <w:rsid w:val="34845C02"/>
    <w:rsid w:val="34C603ED"/>
    <w:rsid w:val="34D67F04"/>
    <w:rsid w:val="34E56399"/>
    <w:rsid w:val="34F62354"/>
    <w:rsid w:val="35194603"/>
    <w:rsid w:val="35275B8E"/>
    <w:rsid w:val="352944D8"/>
    <w:rsid w:val="35357321"/>
    <w:rsid w:val="35470E02"/>
    <w:rsid w:val="35775243"/>
    <w:rsid w:val="35A973C7"/>
    <w:rsid w:val="35D73F34"/>
    <w:rsid w:val="36D44917"/>
    <w:rsid w:val="375E0B91"/>
    <w:rsid w:val="37B41646"/>
    <w:rsid w:val="37D72911"/>
    <w:rsid w:val="37DF01B5"/>
    <w:rsid w:val="37E07290"/>
    <w:rsid w:val="38060B00"/>
    <w:rsid w:val="38060DD1"/>
    <w:rsid w:val="380A6843"/>
    <w:rsid w:val="38123949"/>
    <w:rsid w:val="38813472"/>
    <w:rsid w:val="388D2FD0"/>
    <w:rsid w:val="38CA494E"/>
    <w:rsid w:val="38CC1D4A"/>
    <w:rsid w:val="38CC7F9C"/>
    <w:rsid w:val="390D7F5B"/>
    <w:rsid w:val="39180AEB"/>
    <w:rsid w:val="391F631E"/>
    <w:rsid w:val="392F4087"/>
    <w:rsid w:val="3934169D"/>
    <w:rsid w:val="39952DEB"/>
    <w:rsid w:val="39A52824"/>
    <w:rsid w:val="39B525EA"/>
    <w:rsid w:val="39C72511"/>
    <w:rsid w:val="39EC3D26"/>
    <w:rsid w:val="3A3E27D3"/>
    <w:rsid w:val="3A633411"/>
    <w:rsid w:val="3A794B9A"/>
    <w:rsid w:val="3A804B9A"/>
    <w:rsid w:val="3A824DB6"/>
    <w:rsid w:val="3A904CEE"/>
    <w:rsid w:val="3AD778B0"/>
    <w:rsid w:val="3B2A0FAA"/>
    <w:rsid w:val="3B583D69"/>
    <w:rsid w:val="3B6C6824"/>
    <w:rsid w:val="3BA1126C"/>
    <w:rsid w:val="3BBA7C64"/>
    <w:rsid w:val="3BD121D6"/>
    <w:rsid w:val="3C3976F6"/>
    <w:rsid w:val="3C724118"/>
    <w:rsid w:val="3CF61143"/>
    <w:rsid w:val="3D5F698F"/>
    <w:rsid w:val="3D7A6218"/>
    <w:rsid w:val="3D9B1CEB"/>
    <w:rsid w:val="3DB35286"/>
    <w:rsid w:val="3DCB35B1"/>
    <w:rsid w:val="3DFD29A6"/>
    <w:rsid w:val="3E06185A"/>
    <w:rsid w:val="3E43485C"/>
    <w:rsid w:val="3E4660FB"/>
    <w:rsid w:val="3E496F29"/>
    <w:rsid w:val="3E6D18D9"/>
    <w:rsid w:val="3E7A5DA4"/>
    <w:rsid w:val="3E981ED0"/>
    <w:rsid w:val="3EAA6689"/>
    <w:rsid w:val="3EED6576"/>
    <w:rsid w:val="3EF45B57"/>
    <w:rsid w:val="3F057D64"/>
    <w:rsid w:val="3F0F0BE2"/>
    <w:rsid w:val="3F163D1F"/>
    <w:rsid w:val="3F7F7B16"/>
    <w:rsid w:val="3F873ACE"/>
    <w:rsid w:val="3FB62E0C"/>
    <w:rsid w:val="3FEB51AC"/>
    <w:rsid w:val="3FF04570"/>
    <w:rsid w:val="400D3374"/>
    <w:rsid w:val="40480BDC"/>
    <w:rsid w:val="405F5EB3"/>
    <w:rsid w:val="4076423A"/>
    <w:rsid w:val="411B6CE5"/>
    <w:rsid w:val="412344D1"/>
    <w:rsid w:val="417F09A2"/>
    <w:rsid w:val="418238EE"/>
    <w:rsid w:val="41870F04"/>
    <w:rsid w:val="418D5DEE"/>
    <w:rsid w:val="423D15C3"/>
    <w:rsid w:val="4255690C"/>
    <w:rsid w:val="42834BF7"/>
    <w:rsid w:val="42AC4C0A"/>
    <w:rsid w:val="42F8373B"/>
    <w:rsid w:val="433125CD"/>
    <w:rsid w:val="433D401B"/>
    <w:rsid w:val="438020AF"/>
    <w:rsid w:val="43811FD9"/>
    <w:rsid w:val="438F5E4E"/>
    <w:rsid w:val="439C5B20"/>
    <w:rsid w:val="43AD35EA"/>
    <w:rsid w:val="43CC0E50"/>
    <w:rsid w:val="43F3462F"/>
    <w:rsid w:val="442036C1"/>
    <w:rsid w:val="4453331F"/>
    <w:rsid w:val="4469003D"/>
    <w:rsid w:val="446B0738"/>
    <w:rsid w:val="448160DE"/>
    <w:rsid w:val="44AB6CB7"/>
    <w:rsid w:val="44AD7011"/>
    <w:rsid w:val="44B22C56"/>
    <w:rsid w:val="44CA4349"/>
    <w:rsid w:val="44D24059"/>
    <w:rsid w:val="44E26451"/>
    <w:rsid w:val="452151CC"/>
    <w:rsid w:val="454F497D"/>
    <w:rsid w:val="45652C74"/>
    <w:rsid w:val="45992FB4"/>
    <w:rsid w:val="45D264C6"/>
    <w:rsid w:val="45E73567"/>
    <w:rsid w:val="46450251"/>
    <w:rsid w:val="46517D32"/>
    <w:rsid w:val="46602E46"/>
    <w:rsid w:val="466E2692"/>
    <w:rsid w:val="46713F31"/>
    <w:rsid w:val="467F03FC"/>
    <w:rsid w:val="46C10A14"/>
    <w:rsid w:val="46FF153C"/>
    <w:rsid w:val="472A574D"/>
    <w:rsid w:val="473C7EF9"/>
    <w:rsid w:val="476561F7"/>
    <w:rsid w:val="47673926"/>
    <w:rsid w:val="47947ED7"/>
    <w:rsid w:val="479C322F"/>
    <w:rsid w:val="483149BA"/>
    <w:rsid w:val="4860425D"/>
    <w:rsid w:val="486A6177"/>
    <w:rsid w:val="48A60CA3"/>
    <w:rsid w:val="48CC3A6C"/>
    <w:rsid w:val="48E629B4"/>
    <w:rsid w:val="499917D4"/>
    <w:rsid w:val="499A4194"/>
    <w:rsid w:val="49D93C29"/>
    <w:rsid w:val="49EA2030"/>
    <w:rsid w:val="4A7E09CA"/>
    <w:rsid w:val="4AEC627C"/>
    <w:rsid w:val="4B1D01E3"/>
    <w:rsid w:val="4B441C14"/>
    <w:rsid w:val="4B4439C2"/>
    <w:rsid w:val="4B450CFD"/>
    <w:rsid w:val="4B4B17C5"/>
    <w:rsid w:val="4B7102CE"/>
    <w:rsid w:val="4B977F95"/>
    <w:rsid w:val="4BB02E05"/>
    <w:rsid w:val="4BE46664"/>
    <w:rsid w:val="4C186DA3"/>
    <w:rsid w:val="4C84579A"/>
    <w:rsid w:val="4CB30DFF"/>
    <w:rsid w:val="4CEE1E37"/>
    <w:rsid w:val="4CEE381A"/>
    <w:rsid w:val="4CFD207A"/>
    <w:rsid w:val="4D6614CB"/>
    <w:rsid w:val="4D714816"/>
    <w:rsid w:val="4D897DB2"/>
    <w:rsid w:val="4D8B55C5"/>
    <w:rsid w:val="4DDA23BB"/>
    <w:rsid w:val="4DF0398D"/>
    <w:rsid w:val="4DFE60AA"/>
    <w:rsid w:val="4EAA6232"/>
    <w:rsid w:val="4ED41501"/>
    <w:rsid w:val="4F393030"/>
    <w:rsid w:val="4F477F24"/>
    <w:rsid w:val="4F493C9D"/>
    <w:rsid w:val="4FAC7D88"/>
    <w:rsid w:val="4FE002E9"/>
    <w:rsid w:val="501716A5"/>
    <w:rsid w:val="502E69EF"/>
    <w:rsid w:val="504A3E5F"/>
    <w:rsid w:val="505A5A36"/>
    <w:rsid w:val="506348EA"/>
    <w:rsid w:val="508B3E41"/>
    <w:rsid w:val="50B74C36"/>
    <w:rsid w:val="50D11BCF"/>
    <w:rsid w:val="50D650BC"/>
    <w:rsid w:val="50DB26D2"/>
    <w:rsid w:val="50FC05B2"/>
    <w:rsid w:val="51076CDC"/>
    <w:rsid w:val="51204302"/>
    <w:rsid w:val="5181771E"/>
    <w:rsid w:val="51E41A5B"/>
    <w:rsid w:val="51E90E1F"/>
    <w:rsid w:val="51F04F9A"/>
    <w:rsid w:val="522105B9"/>
    <w:rsid w:val="52262D4C"/>
    <w:rsid w:val="52592449"/>
    <w:rsid w:val="5268268C"/>
    <w:rsid w:val="527F195C"/>
    <w:rsid w:val="52AA2646"/>
    <w:rsid w:val="52B30BA8"/>
    <w:rsid w:val="52F21F55"/>
    <w:rsid w:val="53011BE8"/>
    <w:rsid w:val="53334FE8"/>
    <w:rsid w:val="53464441"/>
    <w:rsid w:val="53E75832"/>
    <w:rsid w:val="542720D3"/>
    <w:rsid w:val="54A92AE8"/>
    <w:rsid w:val="54FB1595"/>
    <w:rsid w:val="5579695E"/>
    <w:rsid w:val="55B654BC"/>
    <w:rsid w:val="55EC5382"/>
    <w:rsid w:val="55F67FAE"/>
    <w:rsid w:val="560426CB"/>
    <w:rsid w:val="56097CE2"/>
    <w:rsid w:val="560A5808"/>
    <w:rsid w:val="56187F25"/>
    <w:rsid w:val="5627460C"/>
    <w:rsid w:val="562B40FC"/>
    <w:rsid w:val="56350AD7"/>
    <w:rsid w:val="564A11E8"/>
    <w:rsid w:val="565847C5"/>
    <w:rsid w:val="567F1D52"/>
    <w:rsid w:val="56A30136"/>
    <w:rsid w:val="56B16AD6"/>
    <w:rsid w:val="572A7F10"/>
    <w:rsid w:val="57664CC0"/>
    <w:rsid w:val="5774562F"/>
    <w:rsid w:val="57AF7172"/>
    <w:rsid w:val="58767185"/>
    <w:rsid w:val="58900246"/>
    <w:rsid w:val="58EB7B73"/>
    <w:rsid w:val="59215342"/>
    <w:rsid w:val="59640D55"/>
    <w:rsid w:val="596C3B13"/>
    <w:rsid w:val="596D67DA"/>
    <w:rsid w:val="5A492DA3"/>
    <w:rsid w:val="5A623E64"/>
    <w:rsid w:val="5A7140A7"/>
    <w:rsid w:val="5A7C4F26"/>
    <w:rsid w:val="5A955FE8"/>
    <w:rsid w:val="5AAB580B"/>
    <w:rsid w:val="5ADF54B5"/>
    <w:rsid w:val="5B092532"/>
    <w:rsid w:val="5B6D2AE6"/>
    <w:rsid w:val="5B8D4F11"/>
    <w:rsid w:val="5BB27C63"/>
    <w:rsid w:val="5BCF1086"/>
    <w:rsid w:val="5BD3501A"/>
    <w:rsid w:val="5BD92F0D"/>
    <w:rsid w:val="5C8C341B"/>
    <w:rsid w:val="5CA72002"/>
    <w:rsid w:val="5CB0535B"/>
    <w:rsid w:val="5CDA33F9"/>
    <w:rsid w:val="5D047455"/>
    <w:rsid w:val="5D1B794C"/>
    <w:rsid w:val="5D3A1B19"/>
    <w:rsid w:val="5D3F048D"/>
    <w:rsid w:val="5D74628C"/>
    <w:rsid w:val="5D7F0889"/>
    <w:rsid w:val="5D891708"/>
    <w:rsid w:val="5D973E25"/>
    <w:rsid w:val="5D9B1C83"/>
    <w:rsid w:val="5D9C143B"/>
    <w:rsid w:val="5DB00FC7"/>
    <w:rsid w:val="5DC664B8"/>
    <w:rsid w:val="5DF03535"/>
    <w:rsid w:val="5E474816"/>
    <w:rsid w:val="5E57565C"/>
    <w:rsid w:val="5EB17168"/>
    <w:rsid w:val="5ED535C8"/>
    <w:rsid w:val="5EFF1C82"/>
    <w:rsid w:val="5F204EA0"/>
    <w:rsid w:val="5F2C67EF"/>
    <w:rsid w:val="5F4E7F2C"/>
    <w:rsid w:val="5F8A1E93"/>
    <w:rsid w:val="5FA7482E"/>
    <w:rsid w:val="5FB24F46"/>
    <w:rsid w:val="5FCF5AF8"/>
    <w:rsid w:val="5FD27396"/>
    <w:rsid w:val="5FEF219F"/>
    <w:rsid w:val="600339F4"/>
    <w:rsid w:val="60116111"/>
    <w:rsid w:val="6028345A"/>
    <w:rsid w:val="602C2F4B"/>
    <w:rsid w:val="6051475F"/>
    <w:rsid w:val="605B738C"/>
    <w:rsid w:val="606C74FF"/>
    <w:rsid w:val="607921FE"/>
    <w:rsid w:val="60D4713E"/>
    <w:rsid w:val="60EE6452"/>
    <w:rsid w:val="617F70AA"/>
    <w:rsid w:val="61C80A51"/>
    <w:rsid w:val="61E67129"/>
    <w:rsid w:val="620C07C2"/>
    <w:rsid w:val="62120443"/>
    <w:rsid w:val="623526DC"/>
    <w:rsid w:val="62467BC8"/>
    <w:rsid w:val="627110E9"/>
    <w:rsid w:val="627209BD"/>
    <w:rsid w:val="627639FE"/>
    <w:rsid w:val="627D5CDF"/>
    <w:rsid w:val="628F156F"/>
    <w:rsid w:val="62B114E5"/>
    <w:rsid w:val="62B17737"/>
    <w:rsid w:val="62B64D4D"/>
    <w:rsid w:val="62F85366"/>
    <w:rsid w:val="63133F4E"/>
    <w:rsid w:val="63462575"/>
    <w:rsid w:val="639037F0"/>
    <w:rsid w:val="63B84AF5"/>
    <w:rsid w:val="63FF2724"/>
    <w:rsid w:val="644C25DC"/>
    <w:rsid w:val="644D348F"/>
    <w:rsid w:val="64542A70"/>
    <w:rsid w:val="645B3DFE"/>
    <w:rsid w:val="646A5DEF"/>
    <w:rsid w:val="6497295D"/>
    <w:rsid w:val="65167D25"/>
    <w:rsid w:val="651D10B4"/>
    <w:rsid w:val="652E3C0F"/>
    <w:rsid w:val="65521719"/>
    <w:rsid w:val="656A1E1F"/>
    <w:rsid w:val="65711400"/>
    <w:rsid w:val="657C227E"/>
    <w:rsid w:val="658B35B5"/>
    <w:rsid w:val="65AB2B63"/>
    <w:rsid w:val="65D73958"/>
    <w:rsid w:val="65DE32B0"/>
    <w:rsid w:val="6612061A"/>
    <w:rsid w:val="66216982"/>
    <w:rsid w:val="662A17C1"/>
    <w:rsid w:val="66770C98"/>
    <w:rsid w:val="669F4149"/>
    <w:rsid w:val="66B934EE"/>
    <w:rsid w:val="670C13E0"/>
    <w:rsid w:val="6719196A"/>
    <w:rsid w:val="67397CFB"/>
    <w:rsid w:val="674C5C80"/>
    <w:rsid w:val="675863D3"/>
    <w:rsid w:val="675B2367"/>
    <w:rsid w:val="677B47B7"/>
    <w:rsid w:val="67E67E83"/>
    <w:rsid w:val="67F93135"/>
    <w:rsid w:val="68106CAE"/>
    <w:rsid w:val="6828049B"/>
    <w:rsid w:val="688936D7"/>
    <w:rsid w:val="695A0B28"/>
    <w:rsid w:val="696C43B8"/>
    <w:rsid w:val="698C6808"/>
    <w:rsid w:val="699B4C9D"/>
    <w:rsid w:val="699F478D"/>
    <w:rsid w:val="69A91168"/>
    <w:rsid w:val="69EC1F03"/>
    <w:rsid w:val="6A0C199F"/>
    <w:rsid w:val="6A963266"/>
    <w:rsid w:val="6AC2732C"/>
    <w:rsid w:val="6AD62431"/>
    <w:rsid w:val="6B361C5A"/>
    <w:rsid w:val="6B52582F"/>
    <w:rsid w:val="6B6F1A60"/>
    <w:rsid w:val="6BA579BA"/>
    <w:rsid w:val="6BC86F7A"/>
    <w:rsid w:val="6C0C3C30"/>
    <w:rsid w:val="6C5555D7"/>
    <w:rsid w:val="6C773298"/>
    <w:rsid w:val="6CDE6BCC"/>
    <w:rsid w:val="6D17288C"/>
    <w:rsid w:val="6D2B6338"/>
    <w:rsid w:val="6D455E49"/>
    <w:rsid w:val="6DCA6759"/>
    <w:rsid w:val="6DCA69DB"/>
    <w:rsid w:val="6DCF13B9"/>
    <w:rsid w:val="6E02353D"/>
    <w:rsid w:val="6E1B1628"/>
    <w:rsid w:val="6E3F653F"/>
    <w:rsid w:val="6E423F72"/>
    <w:rsid w:val="6E69536A"/>
    <w:rsid w:val="6E6C09B6"/>
    <w:rsid w:val="6E6D76CF"/>
    <w:rsid w:val="6E731D44"/>
    <w:rsid w:val="6E7D2BC3"/>
    <w:rsid w:val="6EE90259"/>
    <w:rsid w:val="6EF74724"/>
    <w:rsid w:val="6EFC61DE"/>
    <w:rsid w:val="6EFE7F21"/>
    <w:rsid w:val="6F3B4F58"/>
    <w:rsid w:val="6F6D714E"/>
    <w:rsid w:val="6F790852"/>
    <w:rsid w:val="6F906926"/>
    <w:rsid w:val="6FC82564"/>
    <w:rsid w:val="70174DC7"/>
    <w:rsid w:val="701B35A6"/>
    <w:rsid w:val="70227EC6"/>
    <w:rsid w:val="70335C2F"/>
    <w:rsid w:val="7040659E"/>
    <w:rsid w:val="708B7819"/>
    <w:rsid w:val="708C533F"/>
    <w:rsid w:val="70C464A2"/>
    <w:rsid w:val="712D6B22"/>
    <w:rsid w:val="713A2FED"/>
    <w:rsid w:val="714B6FA9"/>
    <w:rsid w:val="71B96608"/>
    <w:rsid w:val="71D60F68"/>
    <w:rsid w:val="72206871"/>
    <w:rsid w:val="725974A3"/>
    <w:rsid w:val="727B566C"/>
    <w:rsid w:val="728269FA"/>
    <w:rsid w:val="72CC5EC7"/>
    <w:rsid w:val="72E36114"/>
    <w:rsid w:val="73595E79"/>
    <w:rsid w:val="73685544"/>
    <w:rsid w:val="738055E6"/>
    <w:rsid w:val="73813156"/>
    <w:rsid w:val="73836ECE"/>
    <w:rsid w:val="738844E4"/>
    <w:rsid w:val="73BC39D9"/>
    <w:rsid w:val="73DA4614"/>
    <w:rsid w:val="73E86D31"/>
    <w:rsid w:val="73EF6311"/>
    <w:rsid w:val="741B7106"/>
    <w:rsid w:val="74275AAB"/>
    <w:rsid w:val="7434641A"/>
    <w:rsid w:val="7464244A"/>
    <w:rsid w:val="749D5D6D"/>
    <w:rsid w:val="74A569D0"/>
    <w:rsid w:val="74FC6F38"/>
    <w:rsid w:val="74FF07D6"/>
    <w:rsid w:val="750E27C7"/>
    <w:rsid w:val="751D22AD"/>
    <w:rsid w:val="752913AF"/>
    <w:rsid w:val="75422471"/>
    <w:rsid w:val="754B7577"/>
    <w:rsid w:val="756703ED"/>
    <w:rsid w:val="75866801"/>
    <w:rsid w:val="75CD2682"/>
    <w:rsid w:val="75D51537"/>
    <w:rsid w:val="761220F3"/>
    <w:rsid w:val="76516E0F"/>
    <w:rsid w:val="7677439C"/>
    <w:rsid w:val="768014A2"/>
    <w:rsid w:val="76880BED"/>
    <w:rsid w:val="76A54079"/>
    <w:rsid w:val="76E73992"/>
    <w:rsid w:val="76FB6D7B"/>
    <w:rsid w:val="771842B1"/>
    <w:rsid w:val="77400C32"/>
    <w:rsid w:val="77446974"/>
    <w:rsid w:val="77505EB1"/>
    <w:rsid w:val="778E4093"/>
    <w:rsid w:val="77AE3DED"/>
    <w:rsid w:val="77CB2BF1"/>
    <w:rsid w:val="77CE623E"/>
    <w:rsid w:val="77DF044B"/>
    <w:rsid w:val="77F7167E"/>
    <w:rsid w:val="7810280E"/>
    <w:rsid w:val="788A6608"/>
    <w:rsid w:val="78CE3AC8"/>
    <w:rsid w:val="7911139D"/>
    <w:rsid w:val="79135D69"/>
    <w:rsid w:val="791F31F5"/>
    <w:rsid w:val="79222CE5"/>
    <w:rsid w:val="795C3820"/>
    <w:rsid w:val="79752E15"/>
    <w:rsid w:val="79BE5AC5"/>
    <w:rsid w:val="7A57269A"/>
    <w:rsid w:val="7A6C4902"/>
    <w:rsid w:val="7AD149C3"/>
    <w:rsid w:val="7AEA5A84"/>
    <w:rsid w:val="7B0F54EB"/>
    <w:rsid w:val="7B252618"/>
    <w:rsid w:val="7B29556A"/>
    <w:rsid w:val="7B315461"/>
    <w:rsid w:val="7B42141C"/>
    <w:rsid w:val="7B4C246F"/>
    <w:rsid w:val="7B7A3A72"/>
    <w:rsid w:val="7B881B0B"/>
    <w:rsid w:val="7B8A1E3B"/>
    <w:rsid w:val="7BB06386"/>
    <w:rsid w:val="7BB120FE"/>
    <w:rsid w:val="7BB5670C"/>
    <w:rsid w:val="7BB87930"/>
    <w:rsid w:val="7BDB5E40"/>
    <w:rsid w:val="7BE61DA8"/>
    <w:rsid w:val="7C0D1A2A"/>
    <w:rsid w:val="7C442F72"/>
    <w:rsid w:val="7C6453C2"/>
    <w:rsid w:val="7CA51C63"/>
    <w:rsid w:val="7CCD11BA"/>
    <w:rsid w:val="7CD73DE6"/>
    <w:rsid w:val="7D0256D1"/>
    <w:rsid w:val="7D032E2D"/>
    <w:rsid w:val="7D155CB7"/>
    <w:rsid w:val="7D31799A"/>
    <w:rsid w:val="7D4C20DE"/>
    <w:rsid w:val="7D8F646F"/>
    <w:rsid w:val="7DDA320F"/>
    <w:rsid w:val="7DE95B7F"/>
    <w:rsid w:val="7DF438B1"/>
    <w:rsid w:val="7DF764EE"/>
    <w:rsid w:val="7E631DD5"/>
    <w:rsid w:val="7E6D04DE"/>
    <w:rsid w:val="7EAB552B"/>
    <w:rsid w:val="7EE57E1D"/>
    <w:rsid w:val="7F030EC3"/>
    <w:rsid w:val="7F477001"/>
    <w:rsid w:val="7FA26DF8"/>
    <w:rsid w:val="7FA3089C"/>
    <w:rsid w:val="7FEC5DFB"/>
    <w:rsid w:val="7FF6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b/>
      <w:bCs/>
      <w:color w:val="333333"/>
      <w:kern w:val="36"/>
      <w:sz w:val="48"/>
      <w:szCs w:val="48"/>
      <w:lang w:val="zh-CN"/>
    </w:rPr>
  </w:style>
  <w:style w:type="paragraph" w:styleId="3">
    <w:name w:val="heading 2"/>
    <w:basedOn w:val="1"/>
    <w:next w:val="1"/>
    <w:link w:val="256"/>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0"/>
    <w:unhideWhenUsed/>
    <w:qFormat/>
    <w:uiPriority w:val="99"/>
    <w:pPr>
      <w:ind w:left="100" w:leftChars="2500"/>
    </w:pPr>
    <w:rPr>
      <w:lang w:val="zh-CN"/>
    </w:rPr>
  </w:style>
  <w:style w:type="paragraph" w:styleId="5">
    <w:name w:val="Body Text Indent 2"/>
    <w:basedOn w:val="1"/>
    <w:qFormat/>
    <w:uiPriority w:val="0"/>
    <w:pPr>
      <w:widowControl/>
      <w:ind w:left="360"/>
      <w:jc w:val="left"/>
    </w:pPr>
    <w:rPr>
      <w:rFonts w:ascii="Times New Roman" w:hAnsi="Times New Roman" w:eastAsia="Times New Roman"/>
      <w:kern w:val="0"/>
      <w:sz w:val="24"/>
      <w:szCs w:val="24"/>
      <w:u w:val="single"/>
      <w:lang w:val="en-GB" w:eastAsia="en-US"/>
    </w:rPr>
  </w:style>
  <w:style w:type="paragraph" w:styleId="6">
    <w:name w:val="Balloon Text"/>
    <w:basedOn w:val="1"/>
    <w:link w:val="23"/>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kern w:val="0"/>
      <w:sz w:val="18"/>
      <w:szCs w:val="18"/>
      <w:lang w:val="zh-CN"/>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9">
    <w:name w:val="Normal (Web)"/>
    <w:basedOn w:val="1"/>
    <w:unhideWhenUsed/>
    <w:qFormat/>
    <w:uiPriority w:val="99"/>
    <w:pPr>
      <w:jc w:val="left"/>
    </w:pPr>
    <w:rPr>
      <w:rFonts w:ascii="Times New Roman" w:hAnsi="Times New Roman"/>
      <w:kern w:val="0"/>
      <w:sz w:val="24"/>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99"/>
    <w:rPr>
      <w:color w:val="800080"/>
      <w:u w:val="single"/>
    </w:rPr>
  </w:style>
  <w:style w:type="character" w:styleId="14">
    <w:name w:val="Emphasis"/>
    <w:qFormat/>
    <w:uiPriority w:val="20"/>
  </w:style>
  <w:style w:type="character" w:styleId="15">
    <w:name w:val="Hyperlink"/>
    <w:unhideWhenUsed/>
    <w:qFormat/>
    <w:uiPriority w:val="99"/>
    <w:rPr>
      <w:color w:val="333333"/>
      <w:u w:val="none"/>
    </w:rPr>
  </w:style>
  <w:style w:type="character" w:customStyle="1" w:styleId="16">
    <w:name w:val="页眉 字符"/>
    <w:link w:val="8"/>
    <w:qFormat/>
    <w:uiPriority w:val="99"/>
    <w:rPr>
      <w:sz w:val="18"/>
      <w:szCs w:val="18"/>
    </w:rPr>
  </w:style>
  <w:style w:type="character" w:customStyle="1" w:styleId="17">
    <w:name w:val="标题 1 字符"/>
    <w:link w:val="2"/>
    <w:qFormat/>
    <w:uiPriority w:val="9"/>
    <w:rPr>
      <w:rFonts w:ascii="宋体" w:hAnsi="宋体" w:cs="宋体"/>
      <w:b/>
      <w:bCs/>
      <w:color w:val="333333"/>
      <w:kern w:val="36"/>
      <w:sz w:val="48"/>
      <w:szCs w:val="48"/>
    </w:rPr>
  </w:style>
  <w:style w:type="character" w:customStyle="1" w:styleId="18">
    <w:name w:val="bjh-p"/>
    <w:basedOn w:val="12"/>
    <w:qFormat/>
    <w:uiPriority w:val="0"/>
  </w:style>
  <w:style w:type="character" w:customStyle="1" w:styleId="19">
    <w:name w:val="页脚 字符"/>
    <w:link w:val="7"/>
    <w:qFormat/>
    <w:uiPriority w:val="99"/>
    <w:rPr>
      <w:sz w:val="18"/>
      <w:szCs w:val="18"/>
    </w:rPr>
  </w:style>
  <w:style w:type="character" w:customStyle="1" w:styleId="20">
    <w:name w:val="日期 字符"/>
    <w:link w:val="4"/>
    <w:qFormat/>
    <w:uiPriority w:val="99"/>
    <w:rPr>
      <w:kern w:val="2"/>
      <w:sz w:val="21"/>
      <w:szCs w:val="22"/>
    </w:rPr>
  </w:style>
  <w:style w:type="paragraph" w:customStyle="1" w:styleId="21">
    <w:name w:val="section1"/>
    <w:basedOn w:val="1"/>
    <w:qFormat/>
    <w:uiPriority w:val="0"/>
    <w:pPr>
      <w:widowControl/>
      <w:spacing w:line="450" w:lineRule="atLeast"/>
      <w:jc w:val="left"/>
    </w:pPr>
    <w:rPr>
      <w:rFonts w:ascii="宋体" w:hAnsi="宋体" w:cs="宋体"/>
      <w:kern w:val="0"/>
      <w:sz w:val="24"/>
      <w:szCs w:val="24"/>
    </w:rPr>
  </w:style>
  <w:style w:type="character" w:customStyle="1" w:styleId="22">
    <w:name w:val="页眉 Char"/>
    <w:qFormat/>
    <w:uiPriority w:val="99"/>
  </w:style>
  <w:style w:type="character" w:customStyle="1" w:styleId="23">
    <w:name w:val="批注框文本 字符"/>
    <w:link w:val="6"/>
    <w:semiHidden/>
    <w:qFormat/>
    <w:uiPriority w:val="99"/>
    <w:rPr>
      <w:kern w:val="2"/>
      <w:sz w:val="18"/>
      <w:szCs w:val="18"/>
    </w:rPr>
  </w:style>
  <w:style w:type="paragraph" w:customStyle="1" w:styleId="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
    <w:name w:val="xl6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b/>
      <w:bCs/>
      <w:kern w:val="0"/>
      <w:sz w:val="18"/>
      <w:szCs w:val="18"/>
    </w:rPr>
  </w:style>
  <w:style w:type="paragraph" w:customStyle="1" w:styleId="2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27">
    <w:name w:val="xl68"/>
    <w:basedOn w:val="1"/>
    <w:qFormat/>
    <w:uiPriority w:val="0"/>
    <w:pPr>
      <w:widowControl/>
      <w:pBdr>
        <w:top w:val="single" w:color="auto" w:sz="12"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18"/>
      <w:szCs w:val="18"/>
    </w:rPr>
  </w:style>
  <w:style w:type="paragraph" w:customStyle="1" w:styleId="28">
    <w:name w:val="xl6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18"/>
      <w:szCs w:val="18"/>
    </w:rPr>
  </w:style>
  <w:style w:type="paragraph" w:customStyle="1" w:styleId="29">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kern w:val="0"/>
      <w:sz w:val="18"/>
      <w:szCs w:val="18"/>
    </w:rPr>
  </w:style>
  <w:style w:type="paragraph" w:customStyle="1" w:styleId="30">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18"/>
      <w:szCs w:val="18"/>
    </w:rPr>
  </w:style>
  <w:style w:type="paragraph" w:customStyle="1" w:styleId="3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18"/>
      <w:szCs w:val="18"/>
    </w:rPr>
  </w:style>
  <w:style w:type="paragraph" w:customStyle="1" w:styleId="32">
    <w:name w:val="xl7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18"/>
      <w:szCs w:val="18"/>
    </w:rPr>
  </w:style>
  <w:style w:type="paragraph" w:customStyle="1" w:styleId="33">
    <w:name w:val="xl74"/>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34">
    <w:name w:val="xl7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5">
    <w:name w:val="xl76"/>
    <w:basedOn w:val="1"/>
    <w:qFormat/>
    <w:uiPriority w:val="0"/>
    <w:pPr>
      <w:widowControl/>
      <w:pBdr>
        <w:top w:val="single" w:color="auto" w:sz="12"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6">
    <w:name w:val="xl77"/>
    <w:basedOn w:val="1"/>
    <w:qFormat/>
    <w:uiPriority w:val="0"/>
    <w:pPr>
      <w:widowControl/>
      <w:pBdr>
        <w:top w:val="single" w:color="auto" w:sz="12"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7">
    <w:name w:val="xl78"/>
    <w:basedOn w:val="1"/>
    <w:qFormat/>
    <w:uiPriority w:val="0"/>
    <w:pPr>
      <w:widowControl/>
      <w:pBdr>
        <w:top w:val="single" w:color="auto" w:sz="12" w:space="0"/>
        <w:left w:val="single" w:color="auto" w:sz="4" w:space="0"/>
        <w:bottom w:val="single" w:color="auto" w:sz="4" w:space="0"/>
        <w:righ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38">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3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40">
    <w:name w:val="xl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41">
    <w:name w:val="xl8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42">
    <w:name w:val="xl83"/>
    <w:basedOn w:val="1"/>
    <w:qFormat/>
    <w:uiPriority w:val="0"/>
    <w:pPr>
      <w:widowControl/>
      <w:pBdr>
        <w:left w:val="single" w:color="auto" w:sz="4" w:space="0"/>
        <w:bottom w:val="single" w:color="auto" w:sz="4" w:space="0"/>
        <w:righ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43">
    <w:name w:val="xl84"/>
    <w:basedOn w:val="1"/>
    <w:qFormat/>
    <w:uiPriority w:val="0"/>
    <w:pPr>
      <w:widowControl/>
      <w:pBdr>
        <w:top w:val="single" w:color="auto" w:sz="4" w:space="0"/>
        <w:left w:val="single" w:color="auto" w:sz="4" w:space="0"/>
        <w:bottom w:val="single" w:color="auto" w:sz="4" w:space="0"/>
        <w:right w:val="single" w:color="auto" w:sz="12"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44">
    <w:name w:val="xl85"/>
    <w:basedOn w:val="1"/>
    <w:qFormat/>
    <w:uiPriority w:val="0"/>
    <w:pPr>
      <w:widowControl/>
      <w:pBdr>
        <w:top w:val="single" w:color="auto" w:sz="4" w:space="0"/>
        <w:left w:val="single" w:color="auto" w:sz="4" w:space="0"/>
        <w:bottom w:val="single" w:color="auto" w:sz="12"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45">
    <w:name w:val="xl86"/>
    <w:basedOn w:val="1"/>
    <w:qFormat/>
    <w:uiPriority w:val="0"/>
    <w:pPr>
      <w:widowControl/>
      <w:pBdr>
        <w:top w:val="single" w:color="auto" w:sz="4" w:space="0"/>
        <w:left w:val="single" w:color="auto" w:sz="4" w:space="0"/>
        <w:bottom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4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47">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48">
    <w:name w:val="xl89"/>
    <w:basedOn w:val="1"/>
    <w:qFormat/>
    <w:uiPriority w:val="0"/>
    <w:pPr>
      <w:widowControl/>
      <w:pBdr>
        <w:top w:val="single" w:color="auto" w:sz="4" w:space="0"/>
        <w:left w:val="single" w:color="auto" w:sz="4" w:space="0"/>
        <w:bottom w:val="single" w:color="auto" w:sz="4" w:space="0"/>
        <w:right w:val="single" w:color="auto" w:sz="12"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49">
    <w:name w:val="xl90"/>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50">
    <w:name w:val="xl91"/>
    <w:basedOn w:val="1"/>
    <w:qFormat/>
    <w:uiPriority w:val="0"/>
    <w:pPr>
      <w:widowControl/>
      <w:pBdr>
        <w:top w:val="single" w:color="auto" w:sz="4" w:space="0"/>
        <w:left w:val="single" w:color="auto" w:sz="4" w:space="0"/>
        <w:bottom w:val="single" w:color="auto" w:sz="4" w:space="0"/>
        <w:right w:val="single" w:color="auto" w:sz="12"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5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52">
    <w:name w:val="xl93"/>
    <w:basedOn w:val="1"/>
    <w:qFormat/>
    <w:uiPriority w:val="0"/>
    <w:pPr>
      <w:widowControl/>
      <w:pBdr>
        <w:top w:val="single" w:color="auto" w:sz="4" w:space="0"/>
        <w:left w:val="single" w:color="auto" w:sz="4" w:space="0"/>
        <w:bottom w:val="single" w:color="auto" w:sz="4" w:space="0"/>
        <w:right w:val="single" w:color="auto" w:sz="12"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53">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54">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55">
    <w:name w:val="xl96"/>
    <w:basedOn w:val="1"/>
    <w:qFormat/>
    <w:uiPriority w:val="0"/>
    <w:pPr>
      <w:widowControl/>
      <w:pBdr>
        <w:top w:val="single" w:color="auto" w:sz="4" w:space="0"/>
        <w:left w:val="single" w:color="auto" w:sz="4" w:space="0"/>
        <w:bottom w:val="single" w:color="auto" w:sz="4" w:space="0"/>
        <w:right w:val="single" w:color="auto" w:sz="12" w:space="0"/>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56">
    <w:name w:val="xl9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57">
    <w:name w:val="xl98"/>
    <w:basedOn w:val="1"/>
    <w:qFormat/>
    <w:uiPriority w:val="0"/>
    <w:pPr>
      <w:widowControl/>
      <w:pBdr>
        <w:top w:val="single" w:color="auto" w:sz="4" w:space="0"/>
        <w:left w:val="single" w:color="auto" w:sz="4" w:space="0"/>
        <w:bottom w:val="single" w:color="auto" w:sz="12"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58">
    <w:name w:val="xl99"/>
    <w:basedOn w:val="1"/>
    <w:qFormat/>
    <w:uiPriority w:val="0"/>
    <w:pPr>
      <w:widowControl/>
      <w:pBdr>
        <w:top w:val="single" w:color="auto" w:sz="4" w:space="0"/>
        <w:left w:val="single" w:color="auto" w:sz="4" w:space="0"/>
        <w:bottom w:val="single" w:color="auto" w:sz="12" w:space="0"/>
        <w:right w:val="single" w:color="auto" w:sz="12" w:space="0"/>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59">
    <w:name w:val="xl10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60">
    <w:name w:val="xl101"/>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b/>
      <w:bCs/>
      <w:kern w:val="0"/>
      <w:sz w:val="18"/>
      <w:szCs w:val="18"/>
    </w:rPr>
  </w:style>
  <w:style w:type="paragraph" w:customStyle="1" w:styleId="61">
    <w:name w:val="xl102"/>
    <w:basedOn w:val="1"/>
    <w:qFormat/>
    <w:uiPriority w:val="0"/>
    <w:pPr>
      <w:widowControl/>
      <w:pBdr>
        <w:left w:val="single" w:color="auto" w:sz="4" w:space="0"/>
        <w:right w:val="single" w:color="auto" w:sz="12" w:space="0"/>
      </w:pBdr>
      <w:shd w:val="clear" w:color="000000" w:fill="FFFFFF"/>
      <w:spacing w:before="100" w:beforeAutospacing="1" w:after="100" w:afterAutospacing="1"/>
      <w:jc w:val="left"/>
      <w:textAlignment w:val="center"/>
    </w:pPr>
    <w:rPr>
      <w:rFonts w:ascii="宋体" w:hAnsi="宋体" w:cs="宋体"/>
      <w:kern w:val="0"/>
      <w:sz w:val="16"/>
      <w:szCs w:val="16"/>
    </w:rPr>
  </w:style>
  <w:style w:type="paragraph" w:customStyle="1" w:styleId="62">
    <w:name w:val="xl103"/>
    <w:basedOn w:val="1"/>
    <w:qFormat/>
    <w:uiPriority w:val="0"/>
    <w:pPr>
      <w:widowControl/>
      <w:pBdr>
        <w:top w:val="single" w:color="auto" w:sz="12"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63">
    <w:name w:val="xl104"/>
    <w:basedOn w:val="1"/>
    <w:qFormat/>
    <w:uiPriority w:val="0"/>
    <w:pPr>
      <w:widowControl/>
      <w:pBdr>
        <w:top w:val="single" w:color="auto" w:sz="12"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64">
    <w:name w:val="xl105"/>
    <w:basedOn w:val="1"/>
    <w:qFormat/>
    <w:uiPriority w:val="0"/>
    <w:pPr>
      <w:widowControl/>
      <w:pBdr>
        <w:top w:val="single" w:color="auto" w:sz="12"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5">
    <w:name w:val="xl106"/>
    <w:basedOn w:val="1"/>
    <w:qFormat/>
    <w:uiPriority w:val="0"/>
    <w:pPr>
      <w:widowControl/>
      <w:pBdr>
        <w:top w:val="single" w:color="auto" w:sz="12"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kern w:val="0"/>
      <w:sz w:val="18"/>
      <w:szCs w:val="18"/>
    </w:rPr>
  </w:style>
  <w:style w:type="paragraph" w:customStyle="1" w:styleId="66">
    <w:name w:val="xl107"/>
    <w:basedOn w:val="1"/>
    <w:qFormat/>
    <w:uiPriority w:val="0"/>
    <w:pPr>
      <w:widowControl/>
      <w:pBdr>
        <w:top w:val="single" w:color="auto" w:sz="12" w:space="0"/>
        <w:left w:val="single" w:color="auto" w:sz="4" w:space="0"/>
        <w:bottom w:val="single" w:color="auto" w:sz="4" w:space="0"/>
        <w:righ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67">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68">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69">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7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kern w:val="0"/>
      <w:sz w:val="18"/>
      <w:szCs w:val="18"/>
    </w:rPr>
  </w:style>
  <w:style w:type="paragraph" w:customStyle="1" w:styleId="71">
    <w:name w:val="xl112"/>
    <w:basedOn w:val="1"/>
    <w:qFormat/>
    <w:uiPriority w:val="0"/>
    <w:pPr>
      <w:widowControl/>
      <w:pBdr>
        <w:top w:val="single" w:color="auto" w:sz="4" w:space="0"/>
        <w:left w:val="single" w:color="auto" w:sz="4" w:space="0"/>
        <w:bottom w:val="single" w:color="auto" w:sz="4" w:space="0"/>
        <w:righ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2">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73">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4">
    <w:name w:val="xl115"/>
    <w:basedOn w:val="1"/>
    <w:qFormat/>
    <w:uiPriority w:val="0"/>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5">
    <w:name w:val="xl116"/>
    <w:basedOn w:val="1"/>
    <w:qFormat/>
    <w:uiPriority w:val="0"/>
    <w:pPr>
      <w:widowControl/>
      <w:pBdr>
        <w:top w:val="single" w:color="auto" w:sz="4" w:space="0"/>
        <w:left w:val="single" w:color="auto" w:sz="4" w:space="0"/>
        <w:bottom w:val="single" w:color="auto" w:sz="12"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76">
    <w:name w:val="xl117"/>
    <w:basedOn w:val="1"/>
    <w:qFormat/>
    <w:uiPriority w:val="0"/>
    <w:pPr>
      <w:widowControl/>
      <w:pBdr>
        <w:top w:val="single" w:color="auto" w:sz="4" w:space="0"/>
        <w:left w:val="single" w:color="auto" w:sz="4" w:space="0"/>
        <w:righ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7">
    <w:name w:val="xl11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78">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9">
    <w:name w:val="xl120"/>
    <w:basedOn w:val="1"/>
    <w:qFormat/>
    <w:uiPriority w:val="0"/>
    <w:pPr>
      <w:widowControl/>
      <w:pBdr>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80">
    <w:name w:val="xl12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81">
    <w:name w:val="xl122"/>
    <w:basedOn w:val="1"/>
    <w:qFormat/>
    <w:uiPriority w:val="0"/>
    <w:pPr>
      <w:widowControl/>
      <w:pBdr>
        <w:top w:val="single" w:color="auto" w:sz="4" w:space="0"/>
        <w:left w:val="single" w:color="auto" w:sz="4" w:space="0"/>
        <w:bottom w:val="single" w:color="auto" w:sz="12"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82">
    <w:name w:val="xl123"/>
    <w:basedOn w:val="1"/>
    <w:qFormat/>
    <w:uiPriority w:val="0"/>
    <w:pPr>
      <w:widowControl/>
      <w:pBdr>
        <w:top w:val="single" w:color="auto" w:sz="4" w:space="0"/>
        <w:left w:val="single" w:color="auto" w:sz="4" w:space="0"/>
        <w:bottom w:val="single" w:color="auto" w:sz="12"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
    <w:name w:val="xl124"/>
    <w:basedOn w:val="1"/>
    <w:qFormat/>
    <w:uiPriority w:val="0"/>
    <w:pPr>
      <w:widowControl/>
      <w:pBdr>
        <w:top w:val="single" w:color="auto" w:sz="4" w:space="0"/>
        <w:left w:val="single" w:color="auto" w:sz="4" w:space="0"/>
        <w:bottom w:val="single" w:color="auto" w:sz="12"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84">
    <w:name w:val="xl125"/>
    <w:basedOn w:val="1"/>
    <w:qFormat/>
    <w:uiPriority w:val="0"/>
    <w:pPr>
      <w:widowControl/>
      <w:pBdr>
        <w:left w:val="single" w:color="auto" w:sz="4" w:space="0"/>
        <w:bottom w:val="single" w:color="auto" w:sz="12" w:space="0"/>
        <w:right w:val="single" w:color="auto" w:sz="12"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85">
    <w:name w:val="xl12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86">
    <w:name w:val="xl12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87">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8">
    <w:name w:val="xl12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89">
    <w:name w:val="xl130"/>
    <w:basedOn w:val="1"/>
    <w:qFormat/>
    <w:uiPriority w:val="0"/>
    <w:pPr>
      <w:widowControl/>
      <w:pBdr>
        <w:top w:val="single" w:color="000000"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90">
    <w:name w:val="xl131"/>
    <w:basedOn w:val="1"/>
    <w:qFormat/>
    <w:uiPriority w:val="0"/>
    <w:pPr>
      <w:widowControl/>
      <w:pBdr>
        <w:top w:val="single" w:color="000000"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91">
    <w:name w:val="xl132"/>
    <w:basedOn w:val="1"/>
    <w:qFormat/>
    <w:uiPriority w:val="0"/>
    <w:pPr>
      <w:widowControl/>
      <w:pBdr>
        <w:top w:val="single" w:color="000000"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92">
    <w:name w:val="xl133"/>
    <w:basedOn w:val="1"/>
    <w:qFormat/>
    <w:uiPriority w:val="0"/>
    <w:pPr>
      <w:widowControl/>
      <w:pBdr>
        <w:top w:val="single" w:color="000000" w:sz="4" w:space="0"/>
        <w:left w:val="single" w:color="auto" w:sz="4" w:space="0"/>
        <w:righ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93">
    <w:name w:val="xl134"/>
    <w:basedOn w:val="1"/>
    <w:qFormat/>
    <w:uiPriority w:val="0"/>
    <w:pPr>
      <w:widowControl/>
      <w:pBdr>
        <w:top w:val="single" w:color="auto" w:sz="12" w:space="0"/>
        <w:left w:val="single" w:color="auto" w:sz="4" w:space="0"/>
        <w:bottom w:val="single" w:color="auto" w:sz="12"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94">
    <w:name w:val="xl135"/>
    <w:basedOn w:val="1"/>
    <w:qFormat/>
    <w:uiPriority w:val="0"/>
    <w:pPr>
      <w:widowControl/>
      <w:pBdr>
        <w:top w:val="single" w:color="auto" w:sz="12" w:space="0"/>
        <w:left w:val="single" w:color="auto" w:sz="4" w:space="0"/>
        <w:bottom w:val="single" w:color="auto" w:sz="12"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95">
    <w:name w:val="xl136"/>
    <w:basedOn w:val="1"/>
    <w:qFormat/>
    <w:uiPriority w:val="0"/>
    <w:pPr>
      <w:widowControl/>
      <w:pBdr>
        <w:top w:val="single" w:color="auto" w:sz="12" w:space="0"/>
        <w:left w:val="single" w:color="auto" w:sz="4" w:space="0"/>
        <w:bottom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96">
    <w:name w:val="xl13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97">
    <w:name w:val="xl138"/>
    <w:basedOn w:val="1"/>
    <w:qFormat/>
    <w:uiPriority w:val="0"/>
    <w:pPr>
      <w:widowControl/>
      <w:pBdr>
        <w:top w:val="single" w:color="auto" w:sz="4" w:space="0"/>
        <w:left w:val="single" w:color="auto" w:sz="4" w:space="0"/>
        <w:bottom w:val="single" w:color="auto" w:sz="4" w:space="0"/>
        <w:right w:val="single" w:color="auto" w:sz="12"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98">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99">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00">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01">
    <w:name w:val="xl142"/>
    <w:basedOn w:val="1"/>
    <w:qFormat/>
    <w:uiPriority w:val="0"/>
    <w:pPr>
      <w:widowControl/>
      <w:pBdr>
        <w:top w:val="single" w:color="auto" w:sz="4" w:space="0"/>
        <w:left w:val="single" w:color="auto" w:sz="4" w:space="0"/>
        <w:bottom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02">
    <w:name w:val="xl143"/>
    <w:basedOn w:val="1"/>
    <w:qFormat/>
    <w:uiPriority w:val="0"/>
    <w:pPr>
      <w:widowControl/>
      <w:pBdr>
        <w:left w:val="single" w:color="auto" w:sz="4" w:space="0"/>
        <w:bottom w:val="single" w:color="auto" w:sz="12"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03">
    <w:name w:val="xl144"/>
    <w:basedOn w:val="1"/>
    <w:qFormat/>
    <w:uiPriority w:val="0"/>
    <w:pPr>
      <w:widowControl/>
      <w:pBdr>
        <w:left w:val="single" w:color="auto" w:sz="4" w:space="0"/>
        <w:bottom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04">
    <w:name w:val="xl14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05">
    <w:name w:val="xl146"/>
    <w:basedOn w:val="1"/>
    <w:qFormat/>
    <w:uiPriority w:val="0"/>
    <w:pPr>
      <w:widowControl/>
      <w:pBdr>
        <w:left w:val="single" w:color="auto" w:sz="4" w:space="0"/>
        <w:bottom w:val="single" w:color="auto" w:sz="4" w:space="0"/>
        <w:right w:val="single" w:color="auto" w:sz="12"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06">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07">
    <w:name w:val="xl14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08">
    <w:name w:val="xl149"/>
    <w:basedOn w:val="1"/>
    <w:qFormat/>
    <w:uiPriority w:val="0"/>
    <w:pPr>
      <w:widowControl/>
      <w:pBdr>
        <w:top w:val="single" w:color="000000" w:sz="4" w:space="0"/>
        <w:bottom w:val="single" w:color="auto" w:sz="12"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09">
    <w:name w:val="xl150"/>
    <w:basedOn w:val="1"/>
    <w:qFormat/>
    <w:uiPriority w:val="0"/>
    <w:pPr>
      <w:widowControl/>
      <w:pBdr>
        <w:top w:val="single" w:color="000000" w:sz="4" w:space="0"/>
        <w:bottom w:val="single" w:color="auto" w:sz="12"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10">
    <w:name w:val="xl151"/>
    <w:basedOn w:val="1"/>
    <w:qFormat/>
    <w:uiPriority w:val="0"/>
    <w:pPr>
      <w:widowControl/>
      <w:pBdr>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32"/>
      <w:szCs w:val="32"/>
    </w:rPr>
  </w:style>
  <w:style w:type="paragraph" w:customStyle="1" w:styleId="111">
    <w:name w:val="xl152"/>
    <w:basedOn w:val="1"/>
    <w:qFormat/>
    <w:uiPriority w:val="0"/>
    <w:pPr>
      <w:widowControl/>
      <w:pBdr>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24"/>
      <w:szCs w:val="24"/>
    </w:rPr>
  </w:style>
  <w:style w:type="paragraph" w:customStyle="1" w:styleId="112">
    <w:name w:val="xl153"/>
    <w:basedOn w:val="1"/>
    <w:qFormat/>
    <w:uiPriority w:val="0"/>
    <w:pPr>
      <w:widowControl/>
      <w:pBdr>
        <w:top w:val="single" w:color="auto" w:sz="12"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13">
    <w:name w:val="xl154"/>
    <w:basedOn w:val="1"/>
    <w:qFormat/>
    <w:uiPriority w:val="0"/>
    <w:pPr>
      <w:widowControl/>
      <w:pBdr>
        <w:top w:val="single" w:color="auto" w:sz="12" w:space="0"/>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14">
    <w:name w:val="xl155"/>
    <w:basedOn w:val="1"/>
    <w:qFormat/>
    <w:uiPriority w:val="0"/>
    <w:pPr>
      <w:widowControl/>
      <w:pBdr>
        <w:top w:val="single" w:color="auto" w:sz="12"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15">
    <w:name w:val="xl156"/>
    <w:basedOn w:val="1"/>
    <w:qFormat/>
    <w:uiPriority w:val="0"/>
    <w:pPr>
      <w:widowControl/>
      <w:pBdr>
        <w:top w:val="single" w:color="auto" w:sz="12"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16">
    <w:name w:val="xl157"/>
    <w:basedOn w:val="1"/>
    <w:qFormat/>
    <w:uiPriority w:val="0"/>
    <w:pPr>
      <w:widowControl/>
      <w:pBdr>
        <w:top w:val="single" w:color="auto" w:sz="4" w:space="0"/>
        <w:left w:val="single" w:color="auto" w:sz="4" w:space="0"/>
        <w:bottom w:val="single" w:color="auto" w:sz="12"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17">
    <w:name w:val="xl158"/>
    <w:basedOn w:val="1"/>
    <w:qFormat/>
    <w:uiPriority w:val="0"/>
    <w:pPr>
      <w:widowControl/>
      <w:pBdr>
        <w:top w:val="single" w:color="auto" w:sz="4" w:space="0"/>
        <w:bottom w:val="single" w:color="auto" w:sz="12"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4"/>
      <w:szCs w:val="24"/>
    </w:rPr>
  </w:style>
  <w:style w:type="paragraph" w:customStyle="1" w:styleId="118">
    <w:name w:val="xl159"/>
    <w:basedOn w:val="1"/>
    <w:qFormat/>
    <w:uiPriority w:val="0"/>
    <w:pPr>
      <w:widowControl/>
      <w:pBdr>
        <w:top w:val="single" w:color="000000" w:sz="4" w:space="0"/>
        <w:bottom w:val="single" w:color="000000" w:sz="12"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19">
    <w:name w:val="xl160"/>
    <w:basedOn w:val="1"/>
    <w:qFormat/>
    <w:uiPriority w:val="0"/>
    <w:pPr>
      <w:widowControl/>
      <w:pBdr>
        <w:top w:val="single" w:color="000000" w:sz="4" w:space="0"/>
        <w:bottom w:val="single" w:color="000000" w:sz="12"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20">
    <w:name w:val="xl161"/>
    <w:basedOn w:val="1"/>
    <w:qFormat/>
    <w:uiPriority w:val="0"/>
    <w:pPr>
      <w:widowControl/>
      <w:pBdr>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21">
    <w:name w:val="xl162"/>
    <w:basedOn w:val="1"/>
    <w:qFormat/>
    <w:uiPriority w:val="0"/>
    <w:pPr>
      <w:widowControl/>
      <w:pBdr>
        <w:top w:val="single" w:color="000000"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22">
    <w:name w:val="xl163"/>
    <w:basedOn w:val="1"/>
    <w:qFormat/>
    <w:uiPriority w:val="0"/>
    <w:pPr>
      <w:widowControl/>
      <w:pBdr>
        <w:top w:val="single" w:color="000000"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23">
    <w:name w:val="xl164"/>
    <w:basedOn w:val="1"/>
    <w:qFormat/>
    <w:uiPriority w:val="0"/>
    <w:pPr>
      <w:widowControl/>
      <w:pBdr>
        <w:top w:val="single" w:color="auto" w:sz="12" w:space="0"/>
        <w:left w:val="single" w:color="auto" w:sz="12" w:space="0"/>
        <w:bottom w:val="single" w:color="auto" w:sz="12"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24">
    <w:name w:val="xl165"/>
    <w:basedOn w:val="1"/>
    <w:qFormat/>
    <w:uiPriority w:val="0"/>
    <w:pPr>
      <w:widowControl/>
      <w:pBdr>
        <w:bottom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25">
    <w:name w:val="xl166"/>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26">
    <w:name w:val="xl167"/>
    <w:basedOn w:val="1"/>
    <w:qFormat/>
    <w:uiPriority w:val="0"/>
    <w:pPr>
      <w:widowControl/>
      <w:pBdr>
        <w:left w:val="single" w:color="auto" w:sz="12"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27">
    <w:name w:val="xl16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28">
    <w:name w:val="xl169"/>
    <w:basedOn w:val="1"/>
    <w:qFormat/>
    <w:uiPriority w:val="0"/>
    <w:pPr>
      <w:widowControl/>
      <w:pBdr>
        <w:top w:val="single" w:color="auto" w:sz="12"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29">
    <w:name w:val="xl170"/>
    <w:basedOn w:val="1"/>
    <w:qFormat/>
    <w:uiPriority w:val="0"/>
    <w:pPr>
      <w:widowControl/>
      <w:pBdr>
        <w:bottom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30">
    <w:name w:val="xl171"/>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31">
    <w:name w:val="xl172"/>
    <w:basedOn w:val="1"/>
    <w:qFormat/>
    <w:uiPriority w:val="0"/>
    <w:pPr>
      <w:widowControl/>
      <w:pBdr>
        <w:top w:val="single" w:color="auto" w:sz="4" w:space="0"/>
        <w:bottom w:val="single" w:color="auto" w:sz="12"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32">
    <w:name w:val="xl173"/>
    <w:basedOn w:val="1"/>
    <w:qFormat/>
    <w:uiPriority w:val="0"/>
    <w:pPr>
      <w:widowControl/>
      <w:pBdr>
        <w:top w:val="single" w:color="auto" w:sz="4" w:space="0"/>
        <w:bottom w:val="single" w:color="auto" w:sz="12"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33">
    <w:name w:val="xl174"/>
    <w:basedOn w:val="1"/>
    <w:qFormat/>
    <w:uiPriority w:val="0"/>
    <w:pPr>
      <w:widowControl/>
      <w:pBdr>
        <w:top w:val="single" w:color="auto" w:sz="12" w:space="0"/>
        <w:lef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34">
    <w:name w:val="xl175"/>
    <w:basedOn w:val="1"/>
    <w:qFormat/>
    <w:uiPriority w:val="0"/>
    <w:pPr>
      <w:widowControl/>
      <w:pBdr>
        <w:lef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35">
    <w:name w:val="xl176"/>
    <w:basedOn w:val="1"/>
    <w:qFormat/>
    <w:uiPriority w:val="0"/>
    <w:pPr>
      <w:widowControl/>
      <w:pBdr>
        <w:left w:val="single" w:color="auto" w:sz="12" w:space="0"/>
        <w:bottom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36">
    <w:name w:val="xl177"/>
    <w:basedOn w:val="1"/>
    <w:qFormat/>
    <w:uiPriority w:val="0"/>
    <w:pPr>
      <w:widowControl/>
      <w:pBdr>
        <w:top w:val="single" w:color="auto" w:sz="12" w:space="0"/>
        <w:left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37">
    <w:name w:val="xl178"/>
    <w:basedOn w:val="1"/>
    <w:qFormat/>
    <w:uiPriority w:val="0"/>
    <w:pPr>
      <w:widowControl/>
      <w:pBdr>
        <w:left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38">
    <w:name w:val="xl179"/>
    <w:basedOn w:val="1"/>
    <w:qFormat/>
    <w:uiPriority w:val="0"/>
    <w:pPr>
      <w:widowControl/>
      <w:pBdr>
        <w:left w:val="single" w:color="auto" w:sz="12" w:space="0"/>
        <w:bottom w:val="single" w:color="auto" w:sz="4" w:space="0"/>
        <w:righ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39">
    <w:name w:val="xl180"/>
    <w:basedOn w:val="1"/>
    <w:qFormat/>
    <w:uiPriority w:val="0"/>
    <w:pPr>
      <w:widowControl/>
      <w:pBdr>
        <w:top w:val="single" w:color="auto" w:sz="4" w:space="0"/>
        <w:left w:val="single" w:color="auto" w:sz="12" w:space="0"/>
        <w:bottom w:val="single" w:color="auto" w:sz="4" w:space="0"/>
        <w:righ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40">
    <w:name w:val="xl181"/>
    <w:basedOn w:val="1"/>
    <w:qFormat/>
    <w:uiPriority w:val="0"/>
    <w:pPr>
      <w:widowControl/>
      <w:pBdr>
        <w:top w:val="single" w:color="auto" w:sz="4" w:space="0"/>
        <w:left w:val="single" w:color="auto" w:sz="12" w:space="0"/>
        <w:bottom w:val="single" w:color="auto" w:sz="12" w:space="0"/>
        <w:righ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41">
    <w:name w:val="xl182"/>
    <w:basedOn w:val="1"/>
    <w:qFormat/>
    <w:uiPriority w:val="0"/>
    <w:pPr>
      <w:widowControl/>
      <w:pBdr>
        <w:lef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42">
    <w:name w:val="xl183"/>
    <w:basedOn w:val="1"/>
    <w:qFormat/>
    <w:uiPriority w:val="0"/>
    <w:pPr>
      <w:widowControl/>
      <w:pBdr>
        <w:left w:val="single" w:color="auto" w:sz="12"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43">
    <w:name w:val="xl184"/>
    <w:basedOn w:val="1"/>
    <w:qFormat/>
    <w:uiPriority w:val="0"/>
    <w:pPr>
      <w:widowControl/>
      <w:pBdr>
        <w:left w:val="single" w:color="auto" w:sz="12" w:space="0"/>
        <w:bottom w:val="single" w:color="auto" w:sz="12"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44">
    <w:name w:val="xl185"/>
    <w:basedOn w:val="1"/>
    <w:qFormat/>
    <w:uiPriority w:val="0"/>
    <w:pPr>
      <w:widowControl/>
      <w:pBdr>
        <w:top w:val="single" w:color="auto" w:sz="12" w:space="0"/>
        <w:right w:val="single" w:color="000000"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45">
    <w:name w:val="xl186"/>
    <w:basedOn w:val="1"/>
    <w:qFormat/>
    <w:uiPriority w:val="0"/>
    <w:pPr>
      <w:widowControl/>
      <w:pBdr>
        <w:right w:val="single" w:color="000000"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46">
    <w:name w:val="xl187"/>
    <w:basedOn w:val="1"/>
    <w:qFormat/>
    <w:uiPriority w:val="0"/>
    <w:pPr>
      <w:widowControl/>
      <w:pBdr>
        <w:top w:val="single" w:color="auto" w:sz="12"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47">
    <w:name w:val="xl188"/>
    <w:basedOn w:val="1"/>
    <w:qFormat/>
    <w:uiPriority w:val="0"/>
    <w:pPr>
      <w:widowControl/>
      <w:pBdr>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48">
    <w:name w:val="xl189"/>
    <w:basedOn w:val="1"/>
    <w:qFormat/>
    <w:uiPriority w:val="0"/>
    <w:pPr>
      <w:widowControl/>
      <w:pBdr>
        <w:bottom w:val="single" w:color="auto" w:sz="12"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49">
    <w:name w:val="xl190"/>
    <w:basedOn w:val="1"/>
    <w:qFormat/>
    <w:uiPriority w:val="0"/>
    <w:pPr>
      <w:widowControl/>
      <w:pBdr>
        <w:left w:val="single" w:color="auto" w:sz="12"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50">
    <w:name w:val="xl191"/>
    <w:basedOn w:val="1"/>
    <w:qFormat/>
    <w:uiPriority w:val="0"/>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51">
    <w:name w:val="xl192"/>
    <w:basedOn w:val="1"/>
    <w:qFormat/>
    <w:uiPriority w:val="0"/>
    <w:pPr>
      <w:widowControl/>
      <w:pBdr>
        <w:left w:val="single" w:color="auto" w:sz="12" w:space="0"/>
        <w:bottom w:val="single" w:color="auto" w:sz="12" w:space="0"/>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152">
    <w:name w:val="xl19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53">
    <w:name w:val="xl194"/>
    <w:basedOn w:val="1"/>
    <w:qFormat/>
    <w:uiPriority w:val="0"/>
    <w:pPr>
      <w:widowControl/>
      <w:pBdr>
        <w:top w:val="single" w:color="auto" w:sz="12"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54">
    <w:name w:val="xl195"/>
    <w:basedOn w:val="1"/>
    <w:qFormat/>
    <w:uiPriority w:val="0"/>
    <w:pPr>
      <w:widowControl/>
      <w:pBdr>
        <w:left w:val="single" w:color="auto" w:sz="12" w:space="0"/>
        <w:bottom w:val="single" w:color="auto" w:sz="12"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55">
    <w:name w:val="xl196"/>
    <w:basedOn w:val="1"/>
    <w:qFormat/>
    <w:uiPriority w:val="0"/>
    <w:pPr>
      <w:widowControl/>
      <w:pBdr>
        <w:bottom w:val="single" w:color="auto" w:sz="12"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56">
    <w:name w:val="xl197"/>
    <w:basedOn w:val="1"/>
    <w:qFormat/>
    <w:uiPriority w:val="0"/>
    <w:pPr>
      <w:widowControl/>
      <w:pBdr>
        <w:bottom w:val="single" w:color="auto" w:sz="12"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157">
    <w:name w:val="xl198"/>
    <w:basedOn w:val="1"/>
    <w:qFormat/>
    <w:uiPriority w:val="0"/>
    <w:pPr>
      <w:widowControl/>
      <w:pBdr>
        <w:top w:val="single" w:color="auto" w:sz="12" w:space="0"/>
        <w:left w:val="single" w:color="auto" w:sz="4" w:space="0"/>
        <w:righ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58">
    <w:name w:val="xl199"/>
    <w:basedOn w:val="1"/>
    <w:qFormat/>
    <w:uiPriority w:val="0"/>
    <w:pPr>
      <w:widowControl/>
      <w:pBdr>
        <w:left w:val="single" w:color="auto" w:sz="4" w:space="0"/>
        <w:righ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59">
    <w:name w:val="xl200"/>
    <w:basedOn w:val="1"/>
    <w:qFormat/>
    <w:uiPriority w:val="0"/>
    <w:pPr>
      <w:widowControl/>
      <w:pBdr>
        <w:left w:val="single" w:color="auto" w:sz="4" w:space="0"/>
        <w:bottom w:val="single" w:color="000000" w:sz="4" w:space="0"/>
        <w:right w:val="single" w:color="auto" w:sz="12"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60">
    <w:name w:val="xl201"/>
    <w:basedOn w:val="1"/>
    <w:qFormat/>
    <w:uiPriority w:val="0"/>
    <w:pPr>
      <w:widowControl/>
      <w:pBdr>
        <w:top w:val="single" w:color="auto" w:sz="12" w:space="0"/>
        <w:left w:val="single" w:color="auto" w:sz="4" w:space="0"/>
        <w:bottom w:val="single" w:color="auto" w:sz="4" w:space="0"/>
        <w:right w:val="single" w:color="auto" w:sz="12"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61">
    <w:name w:val="xl202"/>
    <w:basedOn w:val="1"/>
    <w:qFormat/>
    <w:uiPriority w:val="0"/>
    <w:pPr>
      <w:widowControl/>
      <w:pBdr>
        <w:top w:val="single" w:color="auto" w:sz="4" w:space="0"/>
        <w:left w:val="single" w:color="auto" w:sz="4" w:space="0"/>
        <w:bottom w:val="single" w:color="auto" w:sz="4" w:space="0"/>
        <w:right w:val="single" w:color="auto" w:sz="12"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62">
    <w:name w:val="xl203"/>
    <w:basedOn w:val="1"/>
    <w:qFormat/>
    <w:uiPriority w:val="0"/>
    <w:pPr>
      <w:widowControl/>
      <w:pBdr>
        <w:top w:val="single" w:color="auto" w:sz="4" w:space="0"/>
        <w:left w:val="single" w:color="auto" w:sz="4" w:space="0"/>
        <w:right w:val="single" w:color="auto" w:sz="12"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163">
    <w:name w:val="xl204"/>
    <w:basedOn w:val="1"/>
    <w:qFormat/>
    <w:uiPriority w:val="0"/>
    <w:pPr>
      <w:widowControl/>
      <w:pBdr>
        <w:left w:val="single" w:color="auto" w:sz="4" w:space="0"/>
        <w:right w:val="single" w:color="auto" w:sz="12"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64">
    <w:name w:val="xl205"/>
    <w:basedOn w:val="1"/>
    <w:qFormat/>
    <w:uiPriority w:val="0"/>
    <w:pPr>
      <w:widowControl/>
      <w:pBdr>
        <w:left w:val="single" w:color="auto" w:sz="4" w:space="0"/>
        <w:bottom w:val="single" w:color="auto" w:sz="4" w:space="0"/>
        <w:right w:val="single" w:color="auto" w:sz="12"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65">
    <w:name w:val="xl20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166">
    <w:name w:val="xl207"/>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textAlignment w:val="center"/>
    </w:pPr>
    <w:rPr>
      <w:rFonts w:ascii="Times New Roman" w:hAnsi="Times New Roman"/>
      <w:kern w:val="0"/>
      <w:sz w:val="18"/>
      <w:szCs w:val="18"/>
    </w:rPr>
  </w:style>
  <w:style w:type="paragraph" w:customStyle="1" w:styleId="167">
    <w:name w:val="xl208"/>
    <w:basedOn w:val="1"/>
    <w:qFormat/>
    <w:uiPriority w:val="0"/>
    <w:pPr>
      <w:widowControl/>
      <w:pBdr>
        <w:top w:val="single" w:color="auto" w:sz="4" w:space="0"/>
        <w:bottom w:val="single" w:color="auto" w:sz="4" w:space="0"/>
        <w:right w:val="single" w:color="auto" w:sz="12" w:space="0"/>
      </w:pBdr>
      <w:shd w:val="clear" w:color="000000" w:fill="FFFFFF"/>
      <w:spacing w:before="100" w:beforeAutospacing="1" w:after="100" w:afterAutospacing="1"/>
      <w:jc w:val="left"/>
      <w:textAlignment w:val="center"/>
    </w:pPr>
    <w:rPr>
      <w:rFonts w:ascii="Times New Roman" w:hAnsi="Times New Roman"/>
      <w:kern w:val="0"/>
      <w:sz w:val="18"/>
      <w:szCs w:val="18"/>
    </w:rPr>
  </w:style>
  <w:style w:type="character" w:customStyle="1" w:styleId="168">
    <w:name w:val="日期 Char1"/>
    <w:basedOn w:val="12"/>
    <w:semiHidden/>
    <w:qFormat/>
    <w:uiPriority w:val="99"/>
    <w:rPr>
      <w:rFonts w:ascii="Calibri" w:hAnsi="Calibri" w:eastAsia="宋体" w:cs="Times New Roman"/>
    </w:rPr>
  </w:style>
  <w:style w:type="paragraph" w:customStyle="1" w:styleId="169">
    <w:name w:val="xl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kern w:val="0"/>
      <w:sz w:val="18"/>
      <w:szCs w:val="18"/>
    </w:rPr>
  </w:style>
  <w:style w:type="paragraph" w:customStyle="1" w:styleId="170">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s="宋体"/>
      <w:b/>
      <w:bCs/>
      <w:kern w:val="0"/>
      <w:sz w:val="18"/>
      <w:szCs w:val="18"/>
    </w:rPr>
  </w:style>
  <w:style w:type="paragraph" w:customStyle="1" w:styleId="17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cs="宋体"/>
      <w:kern w:val="0"/>
      <w:szCs w:val="21"/>
    </w:rPr>
  </w:style>
  <w:style w:type="paragraph" w:styleId="172">
    <w:name w:val="List Paragraph"/>
    <w:basedOn w:val="1"/>
    <w:unhideWhenUsed/>
    <w:qFormat/>
    <w:uiPriority w:val="99"/>
    <w:pPr>
      <w:ind w:firstLine="420" w:firstLineChars="200"/>
    </w:pPr>
  </w:style>
  <w:style w:type="paragraph" w:customStyle="1" w:styleId="173">
    <w:name w:val="无间隔1"/>
    <w:qFormat/>
    <w:uiPriority w:val="1"/>
    <w:rPr>
      <w:rFonts w:ascii="Times New Roman" w:hAnsi="Times New Roman" w:eastAsia="Calibri" w:cs="Times New Roman"/>
      <w:sz w:val="24"/>
      <w:szCs w:val="24"/>
      <w:lang w:val="cs-CZ" w:eastAsia="cs-CZ" w:bidi="ar-SA"/>
    </w:rPr>
  </w:style>
  <w:style w:type="paragraph" w:customStyle="1" w:styleId="174">
    <w:name w:val="列出段落1"/>
    <w:basedOn w:val="1"/>
    <w:qFormat/>
    <w:uiPriority w:val="34"/>
    <w:pPr>
      <w:widowControl/>
      <w:ind w:left="720"/>
      <w:contextualSpacing/>
      <w:jc w:val="left"/>
    </w:pPr>
    <w:rPr>
      <w:rFonts w:ascii="Times New Roman" w:hAnsi="Times New Roman" w:eastAsia="Times New Roman"/>
      <w:kern w:val="0"/>
      <w:sz w:val="24"/>
      <w:szCs w:val="24"/>
      <w:lang w:val="en-GB" w:eastAsia="en-GB"/>
    </w:rPr>
  </w:style>
  <w:style w:type="paragraph" w:customStyle="1" w:styleId="175">
    <w:name w:val="xl20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176">
    <w:name w:val="xl210"/>
    <w:basedOn w:val="1"/>
    <w:qFormat/>
    <w:uiPriority w:val="0"/>
    <w:pPr>
      <w:widowControl/>
      <w:pBdr>
        <w:top w:val="single" w:color="auto" w:sz="4" w:space="0"/>
        <w:left w:val="single" w:color="auto" w:sz="4" w:space="0"/>
        <w:right w:val="single" w:color="auto" w:sz="12" w:space="0"/>
      </w:pBdr>
      <w:spacing w:before="100" w:beforeAutospacing="1" w:after="100" w:afterAutospacing="1"/>
      <w:jc w:val="center"/>
      <w:textAlignment w:val="center"/>
    </w:pPr>
    <w:rPr>
      <w:rFonts w:ascii="宋体" w:hAnsi="宋体" w:cs="宋体"/>
      <w:kern w:val="0"/>
      <w:sz w:val="18"/>
      <w:szCs w:val="18"/>
    </w:rPr>
  </w:style>
  <w:style w:type="paragraph" w:customStyle="1" w:styleId="177">
    <w:name w:val="xl21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kern w:val="0"/>
      <w:sz w:val="18"/>
      <w:szCs w:val="18"/>
    </w:rPr>
  </w:style>
  <w:style w:type="paragraph" w:customStyle="1" w:styleId="178">
    <w:name w:val="xl21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cs="宋体"/>
      <w:kern w:val="0"/>
      <w:sz w:val="18"/>
      <w:szCs w:val="18"/>
    </w:rPr>
  </w:style>
  <w:style w:type="paragraph" w:customStyle="1" w:styleId="179">
    <w:name w:val="xl2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kern w:val="0"/>
      <w:sz w:val="18"/>
      <w:szCs w:val="18"/>
    </w:rPr>
  </w:style>
  <w:style w:type="paragraph" w:customStyle="1" w:styleId="180">
    <w:name w:val="xl214"/>
    <w:basedOn w:val="1"/>
    <w:qFormat/>
    <w:uiPriority w:val="0"/>
    <w:pPr>
      <w:widowControl/>
      <w:pBdr>
        <w:top w:val="single" w:color="auto" w:sz="4" w:space="0"/>
        <w:left w:val="single" w:color="auto" w:sz="4" w:space="0"/>
        <w:bottom w:val="single" w:color="auto" w:sz="4" w:space="0"/>
        <w:right w:val="single" w:color="auto" w:sz="12" w:space="0"/>
      </w:pBdr>
      <w:shd w:val="clear" w:color="000000" w:fill="E2EFDA"/>
      <w:spacing w:before="100" w:beforeAutospacing="1" w:after="100" w:afterAutospacing="1"/>
      <w:jc w:val="left"/>
      <w:textAlignment w:val="center"/>
    </w:pPr>
    <w:rPr>
      <w:rFonts w:ascii="宋体" w:hAnsi="宋体" w:cs="宋体"/>
      <w:kern w:val="0"/>
      <w:sz w:val="18"/>
      <w:szCs w:val="18"/>
    </w:rPr>
  </w:style>
  <w:style w:type="paragraph" w:customStyle="1" w:styleId="181">
    <w:name w:val="xl215"/>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18"/>
      <w:szCs w:val="18"/>
    </w:rPr>
  </w:style>
  <w:style w:type="paragraph" w:customStyle="1" w:styleId="182">
    <w:name w:val="xl216"/>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18"/>
      <w:szCs w:val="18"/>
    </w:rPr>
  </w:style>
  <w:style w:type="paragraph" w:customStyle="1" w:styleId="183">
    <w:name w:val="xl217"/>
    <w:basedOn w:val="1"/>
    <w:qFormat/>
    <w:uiPriority w:val="0"/>
    <w:pPr>
      <w:widowControl/>
      <w:pBdr>
        <w:top w:val="single" w:color="auto" w:sz="12" w:space="0"/>
        <w:left w:val="single" w:color="auto" w:sz="4" w:space="0"/>
        <w:bottom w:val="single" w:color="auto" w:sz="12"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18"/>
      <w:szCs w:val="18"/>
    </w:rPr>
  </w:style>
  <w:style w:type="paragraph" w:customStyle="1" w:styleId="184">
    <w:name w:val="xl21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color w:val="000000"/>
      <w:kern w:val="0"/>
      <w:sz w:val="18"/>
      <w:szCs w:val="18"/>
    </w:rPr>
  </w:style>
  <w:style w:type="paragraph" w:customStyle="1" w:styleId="185">
    <w:name w:val="xl219"/>
    <w:basedOn w:val="1"/>
    <w:qFormat/>
    <w:uiPriority w:val="0"/>
    <w:pPr>
      <w:widowControl/>
      <w:pBdr>
        <w:top w:val="single" w:color="auto" w:sz="4" w:space="0"/>
        <w:left w:val="single" w:color="auto" w:sz="4" w:space="0"/>
        <w:bottom w:val="single" w:color="auto" w:sz="12"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186">
    <w:name w:val="xl220"/>
    <w:basedOn w:val="1"/>
    <w:qFormat/>
    <w:uiPriority w:val="0"/>
    <w:pPr>
      <w:widowControl/>
      <w:pBdr>
        <w:left w:val="single" w:color="auto" w:sz="4" w:space="0"/>
        <w:bottom w:val="single" w:color="auto" w:sz="12"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187">
    <w:name w:val="xl221"/>
    <w:basedOn w:val="1"/>
    <w:qFormat/>
    <w:uiPriority w:val="0"/>
    <w:pPr>
      <w:widowControl/>
      <w:pBdr>
        <w:top w:val="single" w:color="auto" w:sz="12" w:space="0"/>
        <w:left w:val="single" w:color="auto" w:sz="4" w:space="0"/>
        <w:bottom w:val="single" w:color="auto" w:sz="4" w:space="0"/>
      </w:pBdr>
      <w:spacing w:before="100" w:beforeAutospacing="1" w:after="100" w:afterAutospacing="1"/>
      <w:jc w:val="center"/>
      <w:textAlignment w:val="center"/>
    </w:pPr>
    <w:rPr>
      <w:rFonts w:ascii="宋体" w:hAnsi="宋体" w:cs="宋体"/>
      <w:b/>
      <w:bCs/>
      <w:color w:val="003366"/>
      <w:kern w:val="0"/>
      <w:sz w:val="18"/>
      <w:szCs w:val="18"/>
    </w:rPr>
  </w:style>
  <w:style w:type="paragraph" w:customStyle="1" w:styleId="188">
    <w:name w:val="xl222"/>
    <w:basedOn w:val="1"/>
    <w:qFormat/>
    <w:uiPriority w:val="0"/>
    <w:pPr>
      <w:widowControl/>
      <w:pBdr>
        <w:top w:val="single" w:color="auto" w:sz="12" w:space="0"/>
        <w:bottom w:val="single" w:color="auto" w:sz="4" w:space="0"/>
      </w:pBdr>
      <w:spacing w:before="100" w:beforeAutospacing="1" w:after="100" w:afterAutospacing="1"/>
      <w:jc w:val="center"/>
      <w:textAlignment w:val="center"/>
    </w:pPr>
    <w:rPr>
      <w:rFonts w:ascii="宋体" w:hAnsi="宋体" w:cs="宋体"/>
      <w:b/>
      <w:bCs/>
      <w:color w:val="003366"/>
      <w:kern w:val="0"/>
      <w:sz w:val="18"/>
      <w:szCs w:val="18"/>
    </w:rPr>
  </w:style>
  <w:style w:type="paragraph" w:customStyle="1" w:styleId="189">
    <w:name w:val="xl223"/>
    <w:basedOn w:val="1"/>
    <w:qFormat/>
    <w:uiPriority w:val="0"/>
    <w:pPr>
      <w:widowControl/>
      <w:pBdr>
        <w:top w:val="single" w:color="auto" w:sz="12"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3366"/>
      <w:kern w:val="0"/>
      <w:sz w:val="18"/>
      <w:szCs w:val="18"/>
    </w:rPr>
  </w:style>
  <w:style w:type="paragraph" w:customStyle="1" w:styleId="190">
    <w:name w:val="xl224"/>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3366"/>
      <w:kern w:val="0"/>
      <w:sz w:val="18"/>
      <w:szCs w:val="18"/>
    </w:rPr>
  </w:style>
  <w:style w:type="paragraph" w:customStyle="1" w:styleId="19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3366"/>
      <w:kern w:val="0"/>
      <w:sz w:val="18"/>
      <w:szCs w:val="18"/>
    </w:rPr>
  </w:style>
  <w:style w:type="paragraph" w:customStyle="1" w:styleId="192">
    <w:name w:val="xl22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93">
    <w:name w:val="xl22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Times New Roman" w:hAnsi="Times New Roman"/>
      <w:kern w:val="0"/>
      <w:sz w:val="18"/>
      <w:szCs w:val="18"/>
    </w:rPr>
  </w:style>
  <w:style w:type="paragraph" w:customStyle="1" w:styleId="194">
    <w:name w:val="xl228"/>
    <w:basedOn w:val="1"/>
    <w:qFormat/>
    <w:uiPriority w:val="0"/>
    <w:pPr>
      <w:widowControl/>
      <w:pBdr>
        <w:top w:val="single" w:color="auto" w:sz="4" w:space="0"/>
        <w:bottom w:val="single" w:color="auto" w:sz="4" w:space="0"/>
        <w:right w:val="single" w:color="auto" w:sz="12" w:space="0"/>
      </w:pBdr>
      <w:spacing w:before="100" w:beforeAutospacing="1" w:after="100" w:afterAutospacing="1"/>
      <w:jc w:val="left"/>
      <w:textAlignment w:val="center"/>
    </w:pPr>
    <w:rPr>
      <w:rFonts w:ascii="Times New Roman" w:hAnsi="Times New Roman"/>
      <w:kern w:val="0"/>
      <w:sz w:val="18"/>
      <w:szCs w:val="18"/>
    </w:rPr>
  </w:style>
  <w:style w:type="paragraph" w:customStyle="1" w:styleId="195">
    <w:name w:val="xl229"/>
    <w:basedOn w:val="1"/>
    <w:qFormat/>
    <w:uiPriority w:val="0"/>
    <w:pPr>
      <w:widowControl/>
      <w:pBdr>
        <w:top w:val="single" w:color="000000" w:sz="4" w:space="0"/>
        <w:bottom w:val="single" w:color="auto" w:sz="12"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96">
    <w:name w:val="xl230"/>
    <w:basedOn w:val="1"/>
    <w:qFormat/>
    <w:uiPriority w:val="0"/>
    <w:pPr>
      <w:widowControl/>
      <w:pBdr>
        <w:top w:val="single" w:color="000000" w:sz="4" w:space="0"/>
        <w:bottom w:val="single" w:color="auto" w:sz="12"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97">
    <w:name w:val="xl231"/>
    <w:basedOn w:val="1"/>
    <w:qFormat/>
    <w:uiPriority w:val="0"/>
    <w:pPr>
      <w:widowControl/>
      <w:pBdr>
        <w:left w:val="single" w:color="auto" w:sz="12"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98">
    <w:name w:val="xl23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9">
    <w:name w:val="xl233"/>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200">
    <w:name w:val="xl234"/>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1">
    <w:name w:val="xl235"/>
    <w:basedOn w:val="1"/>
    <w:qFormat/>
    <w:uiPriority w:val="0"/>
    <w:pPr>
      <w:widowControl/>
      <w:pBdr>
        <w:top w:val="single" w:color="000000" w:sz="4" w:space="0"/>
        <w:bottom w:val="single" w:color="000000" w:sz="12"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202">
    <w:name w:val="xl236"/>
    <w:basedOn w:val="1"/>
    <w:qFormat/>
    <w:uiPriority w:val="0"/>
    <w:pPr>
      <w:widowControl/>
      <w:pBdr>
        <w:top w:val="single" w:color="000000" w:sz="4" w:space="0"/>
        <w:bottom w:val="single" w:color="000000" w:sz="12" w:space="0"/>
        <w:right w:val="single" w:color="auto" w:sz="4" w:space="0"/>
      </w:pBdr>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203">
    <w:name w:val="xl237"/>
    <w:basedOn w:val="1"/>
    <w:qFormat/>
    <w:uiPriority w:val="0"/>
    <w:pPr>
      <w:widowControl/>
      <w:pBdr>
        <w:top w:val="single" w:color="auto" w:sz="12" w:space="0"/>
        <w:left w:val="single" w:color="auto" w:sz="12" w:space="0"/>
        <w:bottom w:val="single" w:color="auto" w:sz="12"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204">
    <w:name w:val="xl238"/>
    <w:basedOn w:val="1"/>
    <w:qFormat/>
    <w:uiPriority w:val="0"/>
    <w:pPr>
      <w:widowControl/>
      <w:pBdr>
        <w:left w:val="single" w:color="auto" w:sz="4" w:space="0"/>
        <w:bottom w:val="single" w:color="auto" w:sz="12"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205">
    <w:name w:val="xl239"/>
    <w:basedOn w:val="1"/>
    <w:qFormat/>
    <w:uiPriority w:val="0"/>
    <w:pPr>
      <w:widowControl/>
      <w:pBdr>
        <w:top w:val="single" w:color="auto" w:sz="12" w:space="0"/>
        <w:left w:val="single" w:color="auto" w:sz="12"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6">
    <w:name w:val="xl240"/>
    <w:basedOn w:val="1"/>
    <w:qFormat/>
    <w:uiPriority w:val="0"/>
    <w:pPr>
      <w:widowControl/>
      <w:pBdr>
        <w:top w:val="single" w:color="auto" w:sz="12"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7">
    <w:name w:val="xl241"/>
    <w:basedOn w:val="1"/>
    <w:qFormat/>
    <w:uiPriority w:val="0"/>
    <w:pPr>
      <w:widowControl/>
      <w:pBdr>
        <w:top w:val="single" w:color="auto" w:sz="12"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8">
    <w:name w:val="xl242"/>
    <w:basedOn w:val="1"/>
    <w:qFormat/>
    <w:uiPriority w:val="0"/>
    <w:pPr>
      <w:widowControl/>
      <w:pBdr>
        <w:top w:val="single" w:color="auto" w:sz="4" w:space="0"/>
        <w:left w:val="single" w:color="auto" w:sz="12"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9">
    <w:name w:val="xl24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10">
    <w:name w:val="xl2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11">
    <w:name w:val="xl245"/>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12">
    <w:name w:val="xl246"/>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13">
    <w:name w:val="xl247"/>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color w:val="00B050"/>
      <w:kern w:val="0"/>
      <w:sz w:val="18"/>
      <w:szCs w:val="18"/>
    </w:rPr>
  </w:style>
  <w:style w:type="paragraph" w:customStyle="1" w:styleId="214">
    <w:name w:val="xl248"/>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color w:val="00B050"/>
      <w:kern w:val="0"/>
      <w:sz w:val="18"/>
      <w:szCs w:val="18"/>
    </w:rPr>
  </w:style>
  <w:style w:type="paragraph" w:customStyle="1" w:styleId="215">
    <w:name w:val="xl249"/>
    <w:basedOn w:val="1"/>
    <w:qFormat/>
    <w:uiPriority w:val="0"/>
    <w:pPr>
      <w:widowControl/>
      <w:pBdr>
        <w:top w:val="single" w:color="auto" w:sz="4" w:space="0"/>
        <w:bottom w:val="single" w:color="auto" w:sz="12" w:space="0"/>
      </w:pBdr>
      <w:spacing w:before="100" w:beforeAutospacing="1" w:after="100" w:afterAutospacing="1"/>
      <w:jc w:val="center"/>
      <w:textAlignment w:val="center"/>
    </w:pPr>
    <w:rPr>
      <w:rFonts w:ascii="宋体" w:hAnsi="宋体" w:cs="宋体"/>
      <w:b/>
      <w:bCs/>
      <w:kern w:val="0"/>
      <w:sz w:val="18"/>
      <w:szCs w:val="18"/>
    </w:rPr>
  </w:style>
  <w:style w:type="paragraph" w:customStyle="1" w:styleId="216">
    <w:name w:val="xl250"/>
    <w:basedOn w:val="1"/>
    <w:qFormat/>
    <w:uiPriority w:val="0"/>
    <w:pPr>
      <w:widowControl/>
      <w:pBdr>
        <w:top w:val="single" w:color="auto" w:sz="4" w:space="0"/>
        <w:bottom w:val="single" w:color="auto" w:sz="12"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217">
    <w:name w:val="xl251"/>
    <w:basedOn w:val="1"/>
    <w:qFormat/>
    <w:uiPriority w:val="0"/>
    <w:pPr>
      <w:widowControl/>
      <w:pBdr>
        <w:left w:val="single" w:color="auto" w:sz="12" w:space="0"/>
        <w:bottom w:val="single" w:color="auto" w:sz="12"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18">
    <w:name w:val="xl252"/>
    <w:basedOn w:val="1"/>
    <w:qFormat/>
    <w:uiPriority w:val="0"/>
    <w:pPr>
      <w:widowControl/>
      <w:pBdr>
        <w:bottom w:val="single" w:color="auto" w:sz="12"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19">
    <w:name w:val="xl253"/>
    <w:basedOn w:val="1"/>
    <w:qFormat/>
    <w:uiPriority w:val="0"/>
    <w:pPr>
      <w:widowControl/>
      <w:pBdr>
        <w:bottom w:val="single" w:color="auto" w:sz="12"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20">
    <w:name w:val="xl254"/>
    <w:basedOn w:val="1"/>
    <w:qFormat/>
    <w:uiPriority w:val="0"/>
    <w:pPr>
      <w:widowControl/>
      <w:pBdr>
        <w:top w:val="single" w:color="auto" w:sz="12" w:space="0"/>
        <w:left w:val="single" w:color="auto" w:sz="12" w:space="0"/>
      </w:pBdr>
      <w:spacing w:before="100" w:beforeAutospacing="1" w:after="100" w:afterAutospacing="1"/>
      <w:jc w:val="center"/>
      <w:textAlignment w:val="center"/>
    </w:pPr>
    <w:rPr>
      <w:rFonts w:ascii="宋体" w:hAnsi="宋体" w:cs="宋体"/>
      <w:kern w:val="0"/>
      <w:sz w:val="18"/>
      <w:szCs w:val="18"/>
    </w:rPr>
  </w:style>
  <w:style w:type="paragraph" w:customStyle="1" w:styleId="221">
    <w:name w:val="xl255"/>
    <w:basedOn w:val="1"/>
    <w:qFormat/>
    <w:uiPriority w:val="0"/>
    <w:pPr>
      <w:widowControl/>
      <w:pBdr>
        <w:left w:val="single" w:color="auto" w:sz="12" w:space="0"/>
      </w:pBdr>
      <w:spacing w:before="100" w:beforeAutospacing="1" w:after="100" w:afterAutospacing="1"/>
      <w:jc w:val="center"/>
      <w:textAlignment w:val="center"/>
    </w:pPr>
    <w:rPr>
      <w:rFonts w:ascii="宋体" w:hAnsi="宋体" w:cs="宋体"/>
      <w:kern w:val="0"/>
      <w:sz w:val="18"/>
      <w:szCs w:val="18"/>
    </w:rPr>
  </w:style>
  <w:style w:type="paragraph" w:customStyle="1" w:styleId="222">
    <w:name w:val="xl256"/>
    <w:basedOn w:val="1"/>
    <w:qFormat/>
    <w:uiPriority w:val="0"/>
    <w:pPr>
      <w:widowControl/>
      <w:pBdr>
        <w:left w:val="single" w:color="auto" w:sz="12" w:space="0"/>
        <w:bottom w:val="single" w:color="auto" w:sz="12" w:space="0"/>
      </w:pBdr>
      <w:spacing w:before="100" w:beforeAutospacing="1" w:after="100" w:afterAutospacing="1"/>
      <w:jc w:val="center"/>
      <w:textAlignment w:val="center"/>
    </w:pPr>
    <w:rPr>
      <w:rFonts w:ascii="宋体" w:hAnsi="宋体" w:cs="宋体"/>
      <w:kern w:val="0"/>
      <w:sz w:val="18"/>
      <w:szCs w:val="18"/>
    </w:rPr>
  </w:style>
  <w:style w:type="paragraph" w:customStyle="1" w:styleId="223">
    <w:name w:val="xl257"/>
    <w:basedOn w:val="1"/>
    <w:qFormat/>
    <w:uiPriority w:val="0"/>
    <w:pPr>
      <w:widowControl/>
      <w:pBdr>
        <w:top w:val="single" w:color="auto" w:sz="12" w:space="0"/>
        <w:left w:val="single" w:color="auto" w:sz="12" w:space="0"/>
        <w:right w:val="single" w:color="auto" w:sz="12" w:space="0"/>
      </w:pBdr>
      <w:spacing w:before="100" w:beforeAutospacing="1" w:after="100" w:afterAutospacing="1"/>
      <w:jc w:val="center"/>
      <w:textAlignment w:val="center"/>
    </w:pPr>
    <w:rPr>
      <w:rFonts w:ascii="宋体" w:hAnsi="宋体" w:cs="宋体"/>
      <w:kern w:val="0"/>
      <w:sz w:val="18"/>
      <w:szCs w:val="18"/>
    </w:rPr>
  </w:style>
  <w:style w:type="paragraph" w:customStyle="1" w:styleId="224">
    <w:name w:val="xl258"/>
    <w:basedOn w:val="1"/>
    <w:qFormat/>
    <w:uiPriority w:val="0"/>
    <w:pPr>
      <w:widowControl/>
      <w:pBdr>
        <w:left w:val="single" w:color="auto" w:sz="12" w:space="0"/>
        <w:right w:val="single" w:color="auto" w:sz="12" w:space="0"/>
      </w:pBdr>
      <w:spacing w:before="100" w:beforeAutospacing="1" w:after="100" w:afterAutospacing="1"/>
      <w:jc w:val="center"/>
      <w:textAlignment w:val="center"/>
    </w:pPr>
    <w:rPr>
      <w:rFonts w:ascii="宋体" w:hAnsi="宋体" w:cs="宋体"/>
      <w:kern w:val="0"/>
      <w:sz w:val="18"/>
      <w:szCs w:val="18"/>
    </w:rPr>
  </w:style>
  <w:style w:type="paragraph" w:customStyle="1" w:styleId="225">
    <w:name w:val="xl259"/>
    <w:basedOn w:val="1"/>
    <w:qFormat/>
    <w:uiPriority w:val="0"/>
    <w:pPr>
      <w:widowControl/>
      <w:pBdr>
        <w:left w:val="single" w:color="auto" w:sz="12" w:space="0"/>
      </w:pBdr>
      <w:spacing w:before="100" w:beforeAutospacing="1" w:after="100" w:afterAutospacing="1"/>
      <w:jc w:val="center"/>
      <w:textAlignment w:val="center"/>
    </w:pPr>
    <w:rPr>
      <w:rFonts w:ascii="宋体" w:hAnsi="宋体" w:cs="宋体"/>
      <w:kern w:val="0"/>
      <w:sz w:val="18"/>
      <w:szCs w:val="18"/>
    </w:rPr>
  </w:style>
  <w:style w:type="paragraph" w:customStyle="1" w:styleId="226">
    <w:name w:val="xl260"/>
    <w:basedOn w:val="1"/>
    <w:qFormat/>
    <w:uiPriority w:val="0"/>
    <w:pPr>
      <w:widowControl/>
      <w:pBdr>
        <w:left w:val="single" w:color="auto" w:sz="12" w:space="0"/>
        <w:bottom w:val="single" w:color="auto" w:sz="4" w:space="0"/>
        <w:right w:val="single" w:color="auto" w:sz="12" w:space="0"/>
      </w:pBdr>
      <w:spacing w:before="100" w:beforeAutospacing="1" w:after="100" w:afterAutospacing="1"/>
      <w:jc w:val="center"/>
      <w:textAlignment w:val="center"/>
    </w:pPr>
    <w:rPr>
      <w:rFonts w:ascii="宋体" w:hAnsi="宋体" w:cs="宋体"/>
      <w:kern w:val="0"/>
      <w:sz w:val="18"/>
      <w:szCs w:val="18"/>
    </w:rPr>
  </w:style>
  <w:style w:type="paragraph" w:customStyle="1" w:styleId="227">
    <w:name w:val="xl261"/>
    <w:basedOn w:val="1"/>
    <w:qFormat/>
    <w:uiPriority w:val="0"/>
    <w:pPr>
      <w:widowControl/>
      <w:pBdr>
        <w:top w:val="single" w:color="auto" w:sz="4" w:space="0"/>
        <w:left w:val="single" w:color="auto" w:sz="12" w:space="0"/>
        <w:bottom w:val="single" w:color="auto" w:sz="4" w:space="0"/>
        <w:right w:val="single" w:color="auto" w:sz="12" w:space="0"/>
      </w:pBdr>
      <w:spacing w:before="100" w:beforeAutospacing="1" w:after="100" w:afterAutospacing="1"/>
      <w:jc w:val="center"/>
      <w:textAlignment w:val="center"/>
    </w:pPr>
    <w:rPr>
      <w:rFonts w:ascii="宋体" w:hAnsi="宋体" w:cs="宋体"/>
      <w:kern w:val="0"/>
      <w:sz w:val="18"/>
      <w:szCs w:val="18"/>
    </w:rPr>
  </w:style>
  <w:style w:type="paragraph" w:customStyle="1" w:styleId="228">
    <w:name w:val="xl262"/>
    <w:basedOn w:val="1"/>
    <w:qFormat/>
    <w:uiPriority w:val="0"/>
    <w:pPr>
      <w:widowControl/>
      <w:pBdr>
        <w:top w:val="single" w:color="auto" w:sz="4" w:space="0"/>
        <w:left w:val="single" w:color="auto" w:sz="12" w:space="0"/>
        <w:bottom w:val="single" w:color="auto" w:sz="12" w:space="0"/>
        <w:right w:val="single" w:color="auto" w:sz="12" w:space="0"/>
      </w:pBdr>
      <w:spacing w:before="100" w:beforeAutospacing="1" w:after="100" w:afterAutospacing="1"/>
      <w:jc w:val="center"/>
      <w:textAlignment w:val="center"/>
    </w:pPr>
    <w:rPr>
      <w:rFonts w:ascii="宋体" w:hAnsi="宋体" w:cs="宋体"/>
      <w:kern w:val="0"/>
      <w:sz w:val="18"/>
      <w:szCs w:val="18"/>
    </w:rPr>
  </w:style>
  <w:style w:type="paragraph" w:customStyle="1" w:styleId="229">
    <w:name w:val="xl263"/>
    <w:basedOn w:val="1"/>
    <w:qFormat/>
    <w:uiPriority w:val="0"/>
    <w:pPr>
      <w:widowControl/>
      <w:pBdr>
        <w:left w:val="single" w:color="auto" w:sz="12"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0">
    <w:name w:val="xl264"/>
    <w:basedOn w:val="1"/>
    <w:qFormat/>
    <w:uiPriority w:val="0"/>
    <w:pPr>
      <w:widowControl/>
      <w:pBdr>
        <w:left w:val="single" w:color="auto" w:sz="12" w:space="0"/>
        <w:bottom w:val="single" w:color="auto" w:sz="12"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1">
    <w:name w:val="xl265"/>
    <w:basedOn w:val="1"/>
    <w:qFormat/>
    <w:uiPriority w:val="0"/>
    <w:pPr>
      <w:widowControl/>
      <w:pBdr>
        <w:top w:val="single" w:color="auto" w:sz="12"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2">
    <w:name w:val="xl266"/>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3">
    <w:name w:val="xl267"/>
    <w:basedOn w:val="1"/>
    <w:qFormat/>
    <w:uiPriority w:val="0"/>
    <w:pPr>
      <w:widowControl/>
      <w:pBdr>
        <w:top w:val="single" w:color="auto" w:sz="12" w:space="0"/>
        <w:left w:val="single" w:color="auto" w:sz="12"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4">
    <w:name w:val="xl268"/>
    <w:basedOn w:val="1"/>
    <w:qFormat/>
    <w:uiPriority w:val="0"/>
    <w:pPr>
      <w:widowControl/>
      <w:pBdr>
        <w:left w:val="single" w:color="000000"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5">
    <w:name w:val="xl269"/>
    <w:basedOn w:val="1"/>
    <w:qFormat/>
    <w:uiPriority w:val="0"/>
    <w:pPr>
      <w:widowControl/>
      <w:pBdr>
        <w:left w:val="single" w:color="000000" w:sz="4" w:space="0"/>
        <w:bottom w:val="single" w:color="000000"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6">
    <w:name w:val="xl270"/>
    <w:basedOn w:val="1"/>
    <w:qFormat/>
    <w:uiPriority w:val="0"/>
    <w:pPr>
      <w:widowControl/>
      <w:pBdr>
        <w:bottom w:val="single" w:color="000000"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37">
    <w:name w:val="xl271"/>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rFonts w:ascii="宋体" w:hAnsi="宋体" w:cs="宋体"/>
      <w:b/>
      <w:bCs/>
      <w:color w:val="003366"/>
      <w:kern w:val="0"/>
      <w:sz w:val="18"/>
      <w:szCs w:val="18"/>
    </w:rPr>
  </w:style>
  <w:style w:type="paragraph" w:customStyle="1" w:styleId="238">
    <w:name w:val="xl2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3366"/>
      <w:kern w:val="0"/>
      <w:sz w:val="18"/>
      <w:szCs w:val="18"/>
    </w:rPr>
  </w:style>
  <w:style w:type="paragraph" w:customStyle="1" w:styleId="23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240">
    <w:name w:val="xl2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241">
    <w:name w:val="xl275"/>
    <w:basedOn w:val="1"/>
    <w:qFormat/>
    <w:uiPriority w:val="0"/>
    <w:pPr>
      <w:widowControl/>
      <w:pBdr>
        <w:top w:val="single" w:color="auto" w:sz="12"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color w:val="003366"/>
      <w:kern w:val="0"/>
      <w:sz w:val="18"/>
      <w:szCs w:val="18"/>
    </w:rPr>
  </w:style>
  <w:style w:type="paragraph" w:customStyle="1" w:styleId="242">
    <w:name w:val="xl27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color w:val="003366"/>
      <w:kern w:val="0"/>
      <w:sz w:val="18"/>
      <w:szCs w:val="18"/>
    </w:rPr>
  </w:style>
  <w:style w:type="paragraph" w:customStyle="1" w:styleId="243">
    <w:name w:val="xl277"/>
    <w:basedOn w:val="1"/>
    <w:qFormat/>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color w:val="003366"/>
      <w:kern w:val="0"/>
      <w:sz w:val="18"/>
      <w:szCs w:val="18"/>
    </w:rPr>
  </w:style>
  <w:style w:type="paragraph" w:customStyle="1" w:styleId="244">
    <w:name w:val="xl278"/>
    <w:basedOn w:val="1"/>
    <w:qFormat/>
    <w:uiPriority w:val="0"/>
    <w:pPr>
      <w:widowControl/>
      <w:pBdr>
        <w:top w:val="single" w:color="auto" w:sz="12" w:space="0"/>
        <w:left w:val="single" w:color="auto" w:sz="4" w:space="0"/>
        <w:bottom w:val="single" w:color="auto" w:sz="4" w:space="0"/>
        <w:right w:val="single" w:color="auto" w:sz="12" w:space="0"/>
      </w:pBdr>
      <w:spacing w:before="100" w:beforeAutospacing="1" w:after="100" w:afterAutospacing="1"/>
      <w:jc w:val="center"/>
      <w:textAlignment w:val="center"/>
    </w:pPr>
    <w:rPr>
      <w:rFonts w:ascii="宋体" w:hAnsi="宋体" w:cs="宋体"/>
      <w:b/>
      <w:bCs/>
      <w:color w:val="003366"/>
      <w:kern w:val="0"/>
      <w:sz w:val="18"/>
      <w:szCs w:val="18"/>
    </w:rPr>
  </w:style>
  <w:style w:type="paragraph" w:customStyle="1" w:styleId="245">
    <w:name w:val="xl279"/>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textAlignment w:val="center"/>
    </w:pPr>
    <w:rPr>
      <w:rFonts w:ascii="宋体" w:hAnsi="宋体" w:cs="宋体"/>
      <w:b/>
      <w:bCs/>
      <w:color w:val="003366"/>
      <w:kern w:val="0"/>
      <w:sz w:val="18"/>
      <w:szCs w:val="18"/>
    </w:rPr>
  </w:style>
  <w:style w:type="paragraph" w:customStyle="1" w:styleId="246">
    <w:name w:val="xl280"/>
    <w:basedOn w:val="1"/>
    <w:qFormat/>
    <w:uiPriority w:val="0"/>
    <w:pPr>
      <w:widowControl/>
      <w:pBdr>
        <w:top w:val="single" w:color="auto" w:sz="4" w:space="0"/>
        <w:left w:val="single" w:color="auto" w:sz="4" w:space="0"/>
        <w:right w:val="single" w:color="auto" w:sz="12" w:space="0"/>
      </w:pBdr>
      <w:spacing w:before="100" w:beforeAutospacing="1" w:after="100" w:afterAutospacing="1"/>
      <w:jc w:val="center"/>
      <w:textAlignment w:val="center"/>
    </w:pPr>
    <w:rPr>
      <w:rFonts w:ascii="宋体" w:hAnsi="宋体" w:cs="宋体"/>
      <w:b/>
      <w:bCs/>
      <w:color w:val="003366"/>
      <w:kern w:val="0"/>
      <w:sz w:val="18"/>
      <w:szCs w:val="18"/>
    </w:rPr>
  </w:style>
  <w:style w:type="paragraph" w:customStyle="1" w:styleId="247">
    <w:name w:val="xl281"/>
    <w:basedOn w:val="1"/>
    <w:qFormat/>
    <w:uiPriority w:val="0"/>
    <w:pPr>
      <w:widowControl/>
      <w:pBdr>
        <w:left w:val="single" w:color="auto" w:sz="4" w:space="0"/>
        <w:right w:val="single" w:color="auto" w:sz="12" w:space="0"/>
      </w:pBdr>
      <w:spacing w:before="100" w:beforeAutospacing="1" w:after="100" w:afterAutospacing="1"/>
      <w:jc w:val="left"/>
      <w:textAlignment w:val="center"/>
    </w:pPr>
    <w:rPr>
      <w:rFonts w:ascii="宋体" w:hAnsi="宋体" w:cs="宋体"/>
      <w:kern w:val="0"/>
      <w:sz w:val="18"/>
      <w:szCs w:val="18"/>
    </w:rPr>
  </w:style>
  <w:style w:type="paragraph" w:customStyle="1" w:styleId="248">
    <w:name w:val="xl282"/>
    <w:basedOn w:val="1"/>
    <w:qFormat/>
    <w:uiPriority w:val="0"/>
    <w:pPr>
      <w:widowControl/>
      <w:pBdr>
        <w:left w:val="single" w:color="auto" w:sz="4" w:space="0"/>
        <w:bottom w:val="single" w:color="auto" w:sz="4" w:space="0"/>
        <w:right w:val="single" w:color="auto" w:sz="12" w:space="0"/>
      </w:pBdr>
      <w:spacing w:before="100" w:beforeAutospacing="1" w:after="100" w:afterAutospacing="1"/>
      <w:jc w:val="left"/>
      <w:textAlignment w:val="center"/>
    </w:pPr>
    <w:rPr>
      <w:rFonts w:ascii="宋体" w:hAnsi="宋体" w:cs="宋体"/>
      <w:kern w:val="0"/>
      <w:sz w:val="18"/>
      <w:szCs w:val="18"/>
    </w:rPr>
  </w:style>
  <w:style w:type="paragraph" w:customStyle="1" w:styleId="249">
    <w:name w:val="xl283"/>
    <w:basedOn w:val="1"/>
    <w:qFormat/>
    <w:uiPriority w:val="0"/>
    <w:pPr>
      <w:widowControl/>
      <w:pBdr>
        <w:top w:val="single" w:color="auto" w:sz="12"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0">
    <w:name w:val="xl284"/>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1">
    <w:name w:val="xl285"/>
    <w:basedOn w:val="1"/>
    <w:qFormat/>
    <w:uiPriority w:val="0"/>
    <w:pPr>
      <w:widowControl/>
      <w:pBdr>
        <w:bottom w:val="single" w:color="auto" w:sz="12"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2">
    <w:name w:val="xl286"/>
    <w:basedOn w:val="1"/>
    <w:qFormat/>
    <w:uiPriority w:val="0"/>
    <w:pPr>
      <w:widowControl/>
      <w:pBdr>
        <w:left w:val="single" w:color="auto" w:sz="12" w:space="0"/>
      </w:pBdr>
      <w:spacing w:before="100" w:beforeAutospacing="1" w:after="100" w:afterAutospacing="1"/>
      <w:jc w:val="center"/>
      <w:textAlignment w:val="center"/>
    </w:pPr>
    <w:rPr>
      <w:rFonts w:ascii="宋体" w:hAnsi="宋体" w:cs="宋体"/>
      <w:kern w:val="0"/>
      <w:sz w:val="20"/>
      <w:szCs w:val="20"/>
    </w:rPr>
  </w:style>
  <w:style w:type="paragraph" w:customStyle="1" w:styleId="253">
    <w:name w:val="xl287"/>
    <w:basedOn w:val="1"/>
    <w:qFormat/>
    <w:uiPriority w:val="0"/>
    <w:pPr>
      <w:widowControl/>
      <w:spacing w:before="100" w:beforeAutospacing="1" w:after="100" w:afterAutospacing="1"/>
      <w:jc w:val="center"/>
      <w:textAlignment w:val="center"/>
    </w:pPr>
    <w:rPr>
      <w:rFonts w:ascii="宋体" w:hAnsi="宋体" w:cs="宋体"/>
      <w:kern w:val="0"/>
      <w:sz w:val="20"/>
      <w:szCs w:val="20"/>
    </w:rPr>
  </w:style>
  <w:style w:type="paragraph" w:customStyle="1" w:styleId="254">
    <w:name w:val="xl288"/>
    <w:basedOn w:val="1"/>
    <w:qFormat/>
    <w:uiPriority w:val="0"/>
    <w:pPr>
      <w:widowControl/>
      <w:pBdr>
        <w:left w:val="single" w:color="auto" w:sz="12" w:space="0"/>
        <w:bottom w:val="single" w:color="auto" w:sz="12" w:space="0"/>
      </w:pBdr>
      <w:spacing w:before="100" w:beforeAutospacing="1" w:after="100" w:afterAutospacing="1"/>
      <w:jc w:val="center"/>
      <w:textAlignment w:val="center"/>
    </w:pPr>
    <w:rPr>
      <w:rFonts w:ascii="宋体" w:hAnsi="宋体" w:cs="宋体"/>
      <w:kern w:val="0"/>
      <w:sz w:val="20"/>
      <w:szCs w:val="20"/>
    </w:rPr>
  </w:style>
  <w:style w:type="paragraph" w:customStyle="1" w:styleId="255">
    <w:name w:val="xl289"/>
    <w:basedOn w:val="1"/>
    <w:qFormat/>
    <w:uiPriority w:val="0"/>
    <w:pPr>
      <w:widowControl/>
      <w:pBdr>
        <w:bottom w:val="single" w:color="auto" w:sz="12" w:space="0"/>
      </w:pBdr>
      <w:spacing w:before="100" w:beforeAutospacing="1" w:after="100" w:afterAutospacing="1"/>
      <w:jc w:val="center"/>
      <w:textAlignment w:val="center"/>
    </w:pPr>
    <w:rPr>
      <w:rFonts w:ascii="宋体" w:hAnsi="宋体" w:cs="宋体"/>
      <w:kern w:val="0"/>
      <w:sz w:val="20"/>
      <w:szCs w:val="20"/>
    </w:rPr>
  </w:style>
  <w:style w:type="character" w:customStyle="1" w:styleId="256">
    <w:name w:val="标题 2 字符"/>
    <w:basedOn w:val="12"/>
    <w:link w:val="3"/>
    <w:qFormat/>
    <w:uiPriority w:val="0"/>
    <w:rPr>
      <w:rFonts w:ascii="Arial" w:hAnsi="Arial" w:eastAsia="黑体"/>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83F2EE-C861-4A5D-9892-16432B3A4C5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1878</Words>
  <Characters>10709</Characters>
  <Lines>89</Lines>
  <Paragraphs>25</Paragraphs>
  <TotalTime>1</TotalTime>
  <ScaleCrop>false</ScaleCrop>
  <LinksUpToDate>false</LinksUpToDate>
  <CharactersWithSpaces>12562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2021-04-16T06:26:00Z</dcterms:created>
  <dc:creator>沈晨仕</dc:creator>
  <cp:lastModifiedBy>user</cp:lastModifiedBy>
  <cp:lastPrinted>2021-05-08T08:09:00Z</cp:lastPrinted>
  <dcterms:modified xsi:type="dcterms:W3CDTF">2022-07-01T00:54:15Z</dcterms:modified>
  <cp:revision>499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C65C414EDFB342C7AA67787881D282A6</vt:lpwstr>
  </property>
  <property fmtid="{D5CDD505-2E9C-101B-9397-08002B2CF9AE}" pid="4" name="KSORubyTemplateID" linkTarget="0">
    <vt:lpwstr>6</vt:lpwstr>
  </property>
</Properties>
</file>